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新宋体" w:eastAsia="方正小标宋简体" w:cs="新宋体"/>
          <w:bCs/>
          <w:sz w:val="44"/>
          <w:szCs w:val="44"/>
          <w:highlight w:val="none"/>
        </w:rPr>
      </w:pPr>
      <w:bookmarkStart w:id="0" w:name="_GoBack"/>
      <w:r>
        <w:rPr>
          <w:rFonts w:hint="eastAsia" w:ascii="方正小标宋简体" w:hAnsi="新宋体" w:eastAsia="方正小标宋简体" w:cs="新宋体"/>
          <w:bCs/>
          <w:sz w:val="44"/>
          <w:szCs w:val="44"/>
          <w:highlight w:val="none"/>
        </w:rPr>
        <w:t>霸州市民政局</w:t>
      </w:r>
      <w:r>
        <w:rPr>
          <w:rFonts w:ascii="方正小标宋简体" w:hAnsi="新宋体" w:eastAsia="方正小标宋简体" w:cs="新宋体"/>
          <w:bCs/>
          <w:sz w:val="44"/>
          <w:szCs w:val="44"/>
          <w:highlight w:val="none"/>
        </w:rPr>
        <w:t>2017年</w:t>
      </w:r>
      <w:r>
        <w:rPr>
          <w:rFonts w:hint="eastAsia" w:ascii="方正小标宋简体" w:hAnsi="新宋体" w:eastAsia="方正小标宋简体" w:cs="新宋体"/>
          <w:bCs/>
          <w:sz w:val="44"/>
          <w:szCs w:val="44"/>
          <w:highlight w:val="none"/>
        </w:rPr>
        <w:t>度部门决算信息公开情况说明</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t> </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按照《预算法》、《河北省财政厅关于印发&lt;河北省预决算公开操作规程实施细则&gt;的通知》（冀财预﹝2016﹞129号）等规定，现将2017年度部门决算公开如下：</w:t>
      </w:r>
    </w:p>
    <w:p>
      <w:pPr>
        <w:spacing w:line="580" w:lineRule="atLeast"/>
        <w:ind w:firstLine="640" w:firstLineChars="200"/>
        <w:rPr>
          <w:sz w:val="32"/>
          <w:szCs w:val="32"/>
          <w:highlight w:val="none"/>
        </w:rPr>
      </w:pPr>
      <w:r>
        <w:rPr>
          <w:rFonts w:ascii="黑体" w:hAnsi="黑体" w:eastAsia="黑体"/>
          <w:sz w:val="32"/>
          <w:szCs w:val="32"/>
          <w:highlight w:val="none"/>
        </w:rPr>
        <w:t>一、部门职责</w:t>
      </w:r>
      <w:r>
        <w:rPr>
          <w:rFonts w:hint="eastAsia" w:ascii="黑体" w:hAnsi="黑体" w:eastAsia="黑体"/>
          <w:sz w:val="32"/>
          <w:szCs w:val="32"/>
          <w:highlight w:val="none"/>
        </w:rPr>
        <w:t>及</w:t>
      </w:r>
      <w:r>
        <w:rPr>
          <w:rFonts w:ascii="黑体" w:hAnsi="黑体" w:eastAsia="黑体"/>
          <w:sz w:val="32"/>
          <w:szCs w:val="32"/>
          <w:highlight w:val="none"/>
        </w:rPr>
        <w:t>机构设置情况</w:t>
      </w:r>
    </w:p>
    <w:p>
      <w:pPr>
        <w:ind w:firstLine="643" w:firstLineChars="200"/>
        <w:jc w:val="left"/>
        <w:rPr>
          <w:rFonts w:ascii="楷体" w:hAnsi="楷体" w:eastAsia="楷体" w:cs="楷体"/>
          <w:b/>
          <w:bCs/>
          <w:sz w:val="32"/>
          <w:szCs w:val="32"/>
          <w:highlight w:val="none"/>
        </w:rPr>
      </w:pPr>
      <w:r>
        <w:rPr>
          <w:rFonts w:hint="eastAsia" w:ascii="楷体" w:hAnsi="楷体" w:eastAsia="楷体" w:cs="楷体"/>
          <w:b/>
          <w:bCs/>
          <w:sz w:val="32"/>
          <w:szCs w:val="32"/>
          <w:highlight w:val="none"/>
        </w:rPr>
        <w:t>部门职责：</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（一）研究制定全市民政事业发展战略，编制民政事业发展规划和年度计划;负责全市民政信息、宣传、信访和政策理论研究工作；负责全市民政行政执法、监督检查、行政复议工作。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（三）负责市直单位、驻霸中省直单位所属和挂靠的民办非企业单位和年度检查；查处民办非企业单位违法行为和未登记的民办非企业单位。</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（五）指导全市退伍义务兵、转业士官、复员退役伤病残士兵的接收安置工作；负责驻霸中省、市直单位城镇退役士兵、转业士官安置发配工作；指导军地两用人才培训和开发使用工作。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（六）负责廊坊军队离退休干部安置办公室移交本市管理的军队离、退休干部和军队无军籍退休退职职工接收安置、管理服务工作；指导全市军队离退休干部休养所的建设和服务管理工作。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（七）指导全市救灾工作和灾区生产自救、发放救灾款物工作；检查监督救灾款物使用权用情况；组织指导全市救灾捐赠工作，积极开展经常性社会捐助活动及救灾物资的仓储管理。</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（九）承担老年人、孤儿、五保户等特殊困难群众权益保护和行政管理工作，指导残疾人权益保障工作。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研究提出全市加强和改进基层政权、基层民主政治建设的意见和建议；指导全市村委全、居委会等自治组织建设及有关人员培训工作，推进村务、居务公开，指导社区建设并负责社区典型经验的总结和推广。</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（十一）负责全市婚姻登记及管理工作；拟定全市婚姻服务机构管理办法；倡导婚姻习俗改革；依法查年非法婚姻。</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（十二）拟定全市行政区划总体规划；居办村委会、城市街道办事处的设立、撤销、界线变更的调查、论证、审核工作；负责级、镇的设立、撤销、驻地迁移申报工作。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（十三）负责全市行政区划名称、重要自然地理实体命名、更名的申报或审批工作；依法规范全市城乡地名标志设置和管理，组织指导全市推行地名标准化、信息化建设和标准地名书图资料编辑及审定。</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（十四）负责全市边界勘定和边争议调处。</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（十六）负责全市收养登记工作；积极推行殡葬改革，加强全市殡葬事业单位的管理；负责流浪乞讨人员的收容遣送工</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（十七）主管全市对内扶贫和对口帮扶工作。协调有关部门与贫困村、贫困户结对子，办实事。积极争取资金，采取有效措施，帮助贫困村、贫困户尽快脱贫。</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（十八）指导监督全市民政事业费的管理；负责管理和统计全市民政事业发展工作；负责审计专项款物的使用情况。</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（十九）指导各乡镇（区、办）基层民政组织建设工作。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（二十）负责全市社会福利有奖募捐工作。</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（二十一）承办市政府交办的基它事项。</w:t>
      </w:r>
    </w:p>
    <w:p>
      <w:pPr>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部门机构设置：</w:t>
      </w:r>
    </w:p>
    <w:tbl>
      <w:tblPr>
        <w:tblStyle w:val="6"/>
        <w:tblW w:w="9841" w:type="dxa"/>
        <w:jc w:val="center"/>
        <w:tblInd w:w="1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1493"/>
        <w:gridCol w:w="2265"/>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Align w:val="center"/>
          </w:tcPr>
          <w:p>
            <w:pPr>
              <w:spacing w:line="3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单位名称</w:t>
            </w:r>
          </w:p>
        </w:tc>
        <w:tc>
          <w:tcPr>
            <w:tcW w:w="1493" w:type="dxa"/>
            <w:vAlign w:val="center"/>
          </w:tcPr>
          <w:p>
            <w:pPr>
              <w:spacing w:line="3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单位性质</w:t>
            </w:r>
          </w:p>
        </w:tc>
        <w:tc>
          <w:tcPr>
            <w:tcW w:w="2265" w:type="dxa"/>
            <w:vAlign w:val="center"/>
          </w:tcPr>
          <w:p>
            <w:pPr>
              <w:spacing w:line="3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单位规格</w:t>
            </w:r>
          </w:p>
        </w:tc>
        <w:tc>
          <w:tcPr>
            <w:tcW w:w="3046" w:type="dxa"/>
            <w:vAlign w:val="center"/>
          </w:tcPr>
          <w:p>
            <w:pPr>
              <w:spacing w:line="30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37" w:type="dxa"/>
            <w:vAlign w:val="center"/>
          </w:tcPr>
          <w:p>
            <w:pPr>
              <w:spacing w:line="3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霸州市民政局</w:t>
            </w:r>
          </w:p>
        </w:tc>
        <w:tc>
          <w:tcPr>
            <w:tcW w:w="1493" w:type="dxa"/>
            <w:vAlign w:val="center"/>
          </w:tcPr>
          <w:p>
            <w:pPr>
              <w:spacing w:line="3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行政</w:t>
            </w:r>
          </w:p>
        </w:tc>
        <w:tc>
          <w:tcPr>
            <w:tcW w:w="2265" w:type="dxa"/>
            <w:vAlign w:val="center"/>
          </w:tcPr>
          <w:p>
            <w:pPr>
              <w:spacing w:line="3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正科级</w:t>
            </w:r>
          </w:p>
        </w:tc>
        <w:tc>
          <w:tcPr>
            <w:tcW w:w="3046" w:type="dxa"/>
            <w:vAlign w:val="center"/>
          </w:tcPr>
          <w:p>
            <w:pPr>
              <w:spacing w:line="30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财政拨款</w:t>
            </w:r>
          </w:p>
        </w:tc>
      </w:tr>
    </w:tbl>
    <w:p>
      <w:pPr>
        <w:ind w:firstLine="640" w:firstLineChars="200"/>
        <w:rPr>
          <w:rFonts w:ascii="仿宋" w:hAnsi="仿宋" w:eastAsia="仿宋" w:cs="宋体"/>
          <w:kern w:val="0"/>
          <w:sz w:val="32"/>
          <w:szCs w:val="32"/>
          <w:highlight w:val="none"/>
        </w:rPr>
      </w:pPr>
      <w:r>
        <w:rPr>
          <w:rFonts w:hint="eastAsia" w:ascii="仿宋" w:hAnsi="仿宋" w:eastAsia="仿宋" w:cs="宋体"/>
          <w:kern w:val="0"/>
          <w:sz w:val="32"/>
          <w:szCs w:val="32"/>
          <w:highlight w:val="none"/>
        </w:rPr>
        <w:t>我单位为1级预算单位，无下属单位，无汇总决算。</w:t>
      </w:r>
    </w:p>
    <w:p>
      <w:pPr>
        <w:ind w:firstLine="640" w:firstLineChars="200"/>
        <w:rPr>
          <w:rFonts w:ascii="黑体" w:hAnsi="黑体" w:eastAsia="黑体"/>
          <w:sz w:val="32"/>
          <w:szCs w:val="32"/>
          <w:highlight w:val="none"/>
        </w:rPr>
      </w:pPr>
      <w:r>
        <w:rPr>
          <w:rFonts w:hint="eastAsia" w:eastAsia="黑体"/>
          <w:sz w:val="32"/>
          <w:szCs w:val="32"/>
          <w:highlight w:val="none"/>
        </w:rPr>
        <w:t>二、</w:t>
      </w:r>
      <w:r>
        <w:rPr>
          <w:rFonts w:hint="eastAsia" w:ascii="黑体" w:hAnsi="黑体" w:eastAsia="黑体"/>
          <w:sz w:val="32"/>
          <w:szCs w:val="32"/>
          <w:highlight w:val="none"/>
        </w:rPr>
        <w:t>部门决算报表（见附表）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（一）收入支出决算总表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（二）收入决算表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（三）支出决算表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（四）财政拨款收入支出决算总表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（五）一般公共预算财政拨款支出决算表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（六）一般公共预算财政拨款基本支出决算表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（七）政府性基金预算财政拨款收入支出决算表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（八）国有资本经营预算财政拨款支出决算表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（九）“三公”经费及相关信息统计表</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（十）政府采购情况表</w:t>
      </w:r>
    </w:p>
    <w:p>
      <w:pPr>
        <w:ind w:firstLine="640" w:firstLineChars="200"/>
        <w:rPr>
          <w:rFonts w:ascii="黑体" w:hAnsi="黑体" w:eastAsia="黑体"/>
          <w:sz w:val="32"/>
          <w:szCs w:val="32"/>
          <w:highlight w:val="none"/>
        </w:rPr>
      </w:pPr>
      <w:r>
        <w:rPr>
          <w:rFonts w:hint="eastAsia" w:eastAsia="黑体"/>
          <w:sz w:val="32"/>
          <w:szCs w:val="32"/>
          <w:highlight w:val="none"/>
        </w:rPr>
        <w:t>三</w:t>
      </w:r>
      <w:r>
        <w:rPr>
          <w:rFonts w:eastAsia="黑体"/>
          <w:sz w:val="32"/>
          <w:szCs w:val="32"/>
          <w:highlight w:val="none"/>
        </w:rPr>
        <w:t>、</w:t>
      </w:r>
      <w:r>
        <w:rPr>
          <w:rFonts w:hint="eastAsia" w:ascii="黑体" w:hAnsi="黑体" w:eastAsia="黑体"/>
          <w:sz w:val="32"/>
          <w:szCs w:val="32"/>
          <w:highlight w:val="none"/>
        </w:rPr>
        <w:t>2017年度部门决算情况说明</w:t>
      </w:r>
    </w:p>
    <w:p>
      <w:pPr>
        <w:spacing w:line="360" w:lineRule="auto"/>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（一）收入支出决算总体情况说明</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反映本部门综合收支情况。霸州市民政局2017年度决算收入总计10812.44万元，决算支出11516.03万元。与2016年度决算相比，收入增加3149.81万元，增长41.11%，主要原因是下属敬老院经费汇总到本单位核算、各类贫困及优抚对象资金发放标准增加；支出增加2919.46万元，增长33.96%，主要原因是下属敬老院经费汇总到本单位核算、各类贫困及优抚对象资金发放标准增加的支出。</w:t>
      </w:r>
    </w:p>
    <w:p>
      <w:pPr>
        <w:ind w:firstLine="643" w:firstLineChars="200"/>
        <w:rPr>
          <w:rFonts w:ascii="仿宋" w:hAnsi="仿宋" w:eastAsia="仿宋" w:cs="仿宋"/>
          <w:sz w:val="32"/>
          <w:szCs w:val="32"/>
          <w:highlight w:val="none"/>
        </w:rPr>
      </w:pPr>
      <w:r>
        <w:rPr>
          <w:rFonts w:hint="eastAsia" w:ascii="楷体" w:hAnsi="楷体" w:eastAsia="楷体" w:cs="楷体"/>
          <w:b/>
          <w:bCs/>
          <w:sz w:val="32"/>
          <w:szCs w:val="32"/>
          <w:highlight w:val="none"/>
        </w:rPr>
        <w:t>（二）收入决算情况说明</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反映本部门当年总体收入情况。霸州市民政局2017年度收入合计10812.44万元，其中：其中财政拨款收入10812.44万元，占比100%；事业收入0万元，占比0%；其他收入0万元，占比0%。</w:t>
      </w:r>
    </w:p>
    <w:p>
      <w:pPr>
        <w:spacing w:line="360" w:lineRule="auto"/>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（三）支出决算情况说明</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反映本部门当年总体支出情况。霸州市民政局2017年部门决算支出11516.03万元，其中基本支出1108.73万元，占比9.63%，包含人员经费支出985.16万元和日常公用经费支出123.58万元；项目支出10407.3万元，占比90.37%。</w:t>
      </w:r>
    </w:p>
    <w:p>
      <w:pPr>
        <w:spacing w:line="360" w:lineRule="auto"/>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（四）财政拨款收入支出决算总体情况说明</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反映本部门财政拨款收支情况。</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b/>
          <w:bCs/>
          <w:sz w:val="32"/>
          <w:szCs w:val="32"/>
          <w:highlight w:val="none"/>
        </w:rPr>
        <w:t>财政拨款收支与2016年度决算对比情况</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霸州市民政局2017年度财政拨款收入决算总计10812.44万元，较2016年增加3149.8万元，增长41.11%，主要原因是下属敬老院经费汇总到本单位核算、各类贫困及优抚对象资金发放标准增加，其中：一般预算财政拨款增加2538.35万元，政府性基金预算财政拨款增加611.46万元。2017年</w:t>
      </w:r>
      <w:r>
        <w:rPr>
          <w:rFonts w:hint="eastAsia" w:ascii="仿宋" w:hAnsi="仿宋" w:eastAsia="仿宋" w:cs="仿宋"/>
          <w:sz w:val="32"/>
          <w:szCs w:val="32"/>
          <w:highlight w:val="none"/>
        </w:rPr>
        <w:t>财政拨款支出决算总计</w:t>
      </w:r>
      <w:r>
        <w:rPr>
          <w:rFonts w:hint="eastAsia" w:ascii="仿宋" w:hAnsi="仿宋" w:eastAsia="仿宋" w:cs="仿宋"/>
          <w:sz w:val="32"/>
          <w:szCs w:val="32"/>
          <w:highlight w:val="none"/>
          <w:lang w:val="en-US" w:eastAsia="zh-CN"/>
        </w:rPr>
        <w:t>11494.03</w:t>
      </w:r>
      <w:r>
        <w:rPr>
          <w:rFonts w:hint="eastAsia" w:ascii="仿宋" w:hAnsi="仿宋" w:eastAsia="仿宋" w:cs="仿宋"/>
          <w:sz w:val="32"/>
          <w:szCs w:val="32"/>
          <w:highlight w:val="none"/>
        </w:rPr>
        <w:t>万元</w:t>
      </w:r>
      <w:r>
        <w:rPr>
          <w:rFonts w:hint="eastAsia" w:ascii="仿宋" w:hAnsi="仿宋" w:eastAsia="仿宋" w:cs="仿宋"/>
          <w:sz w:val="32"/>
          <w:szCs w:val="32"/>
          <w:highlight w:val="none"/>
        </w:rPr>
        <w:t>，较2016年度决算增加2919.46万元，</w:t>
      </w:r>
      <w:r>
        <w:rPr>
          <w:rFonts w:hint="eastAsia" w:ascii="仿宋" w:hAnsi="仿宋" w:eastAsia="仿宋" w:cs="仿宋"/>
          <w:sz w:val="32"/>
          <w:szCs w:val="32"/>
          <w:highlight w:val="none"/>
        </w:rPr>
        <w:t>增长3</w:t>
      </w:r>
      <w:r>
        <w:rPr>
          <w:rFonts w:hint="eastAsia" w:ascii="仿宋" w:hAnsi="仿宋" w:eastAsia="仿宋" w:cs="仿宋"/>
          <w:sz w:val="32"/>
          <w:szCs w:val="32"/>
          <w:highlight w:val="none"/>
          <w:lang w:val="en-US" w:eastAsia="zh-CN"/>
        </w:rPr>
        <w:t>4.05</w:t>
      </w:r>
      <w:r>
        <w:rPr>
          <w:rFonts w:hint="eastAsia" w:ascii="仿宋" w:hAnsi="仿宋" w:eastAsia="仿宋" w:cs="仿宋"/>
          <w:sz w:val="32"/>
          <w:szCs w:val="32"/>
          <w:highlight w:val="none"/>
        </w:rPr>
        <w:t>%，</w:t>
      </w:r>
      <w:r>
        <w:rPr>
          <w:rFonts w:hint="eastAsia" w:ascii="仿宋" w:hAnsi="仿宋" w:eastAsia="仿宋" w:cs="仿宋"/>
          <w:sz w:val="32"/>
          <w:szCs w:val="32"/>
          <w:highlight w:val="none"/>
        </w:rPr>
        <w:t>主要原因是下属敬老院经费汇总到本单位核算、各类贫困及优抚对象资金发放标准增加的支出。其中，基本支出增加380.69万元，项目支出增加2538.77万元。</w:t>
      </w:r>
    </w:p>
    <w:p>
      <w:pPr>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2、财政拨款收支与预算数对比情况</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霸州市民政局2017年财政拨款收入决算总计10812.44万元，较年初预算增加4128.07万元，增长</w:t>
      </w:r>
      <w:r>
        <w:rPr>
          <w:rFonts w:hint="eastAsia" w:ascii="仿宋" w:hAnsi="仿宋" w:eastAsia="仿宋" w:cs="仿宋"/>
          <w:sz w:val="32"/>
          <w:szCs w:val="32"/>
          <w:highlight w:val="none"/>
          <w:lang w:val="en-US" w:eastAsia="zh-CN"/>
        </w:rPr>
        <w:t>61.76%</w:t>
      </w:r>
      <w:r>
        <w:rPr>
          <w:rFonts w:hint="eastAsia" w:ascii="仿宋" w:hAnsi="仿宋" w:eastAsia="仿宋" w:cs="仿宋"/>
          <w:sz w:val="32"/>
          <w:szCs w:val="32"/>
          <w:highlight w:val="none"/>
        </w:rPr>
        <w:t>，主要原因是下属敬老院经费汇总到本单位核算、各类贫困及优抚对象资金发放标准增加。其中，一般公共预算拨款增加3645.81万元，政府性基金预算财政拨款增加482.26万元。2017年财政拨款支出决算总计</w:t>
      </w:r>
      <w:r>
        <w:rPr>
          <w:rFonts w:hint="eastAsia" w:ascii="仿宋" w:hAnsi="仿宋" w:eastAsia="仿宋" w:cs="仿宋"/>
          <w:sz w:val="32"/>
          <w:szCs w:val="32"/>
          <w:highlight w:val="none"/>
          <w:lang w:val="en-US" w:eastAsia="zh-CN"/>
        </w:rPr>
        <w:t>11494.03</w:t>
      </w:r>
      <w:r>
        <w:rPr>
          <w:rFonts w:hint="eastAsia" w:ascii="仿宋" w:hAnsi="仿宋" w:eastAsia="仿宋" w:cs="仿宋"/>
          <w:sz w:val="32"/>
          <w:szCs w:val="32"/>
          <w:highlight w:val="none"/>
        </w:rPr>
        <w:t>万元，较年初预算增加4831.66万元，增长</w:t>
      </w:r>
      <w:r>
        <w:rPr>
          <w:rFonts w:hint="eastAsia" w:ascii="仿宋" w:hAnsi="仿宋" w:eastAsia="仿宋" w:cs="仿宋"/>
          <w:sz w:val="32"/>
          <w:szCs w:val="32"/>
          <w:highlight w:val="none"/>
          <w:lang w:val="en-US" w:eastAsia="zh-CN"/>
        </w:rPr>
        <w:t>72.50%</w:t>
      </w:r>
      <w:r>
        <w:rPr>
          <w:rFonts w:hint="eastAsia" w:ascii="仿宋" w:hAnsi="仿宋" w:eastAsia="仿宋" w:cs="仿宋"/>
          <w:sz w:val="32"/>
          <w:szCs w:val="32"/>
          <w:highlight w:val="none"/>
        </w:rPr>
        <w:t>，主要原因是下属敬老院经费汇总到本单位核算、各类贫困及优抚对象资金发放标准增加的支出。其中，基本支出增加380.7万元，项目支出增加2538.77万元。</w:t>
      </w:r>
    </w:p>
    <w:p>
      <w:pPr>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（五）“三公”经费情况及增减变化原因</w:t>
      </w:r>
    </w:p>
    <w:p>
      <w:pPr>
        <w:spacing w:line="360" w:lineRule="auto"/>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2017年度部门“三公”经费支出2.13万元，比预算减少0.98万元，比2016年度决算减少4.81万元。原因是公车改革后，我部门厉行节约，严控“三公”经费各项支出。其中：因公出国（境）费0万元（本年度2017年度组织出国（境）团组0个，因公出国（境）人次数0人），与预算持平，比2016年度决算一致；公务用车购置及运行维护费2.05万元（其中：公务用车购置费为0万元，公务用车运行费2.05万元，年末公务用车保有量2辆) ，比预算减少0.45万元，比2016年度决算减少4.72万元，原因是公车改革后，我部门厉行节约，严控公车运维支出；公务接待费0.08万元（2017年度国内公务接待1批次，合计接待4人次），比年初预算减少0.53万元，比2016年度决算减少0.09万元，原因是我单位接待支出减少。</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（六）预算绩效管理工作开展情况说明</w:t>
      </w:r>
    </w:p>
    <w:p>
      <w:pPr>
        <w:autoSpaceDE w:val="0"/>
        <w:autoSpaceDN w:val="0"/>
        <w:snapToGrid w:val="0"/>
        <w:spacing w:line="560" w:lineRule="exact"/>
        <w:ind w:firstLine="643" w:firstLineChars="200"/>
        <w:rPr>
          <w:rFonts w:ascii="仿宋_GB2312" w:hAnsi="??_GB2312" w:eastAsia="仿宋_GB2312" w:cs="??_GB2312"/>
          <w:b/>
          <w:bCs/>
          <w:color w:val="000000"/>
          <w:kern w:val="0"/>
          <w:sz w:val="32"/>
          <w:szCs w:val="32"/>
          <w:highlight w:val="none"/>
          <w:shd w:val="clear" w:color="auto" w:fill="FFFFFF"/>
        </w:rPr>
      </w:pPr>
      <w:r>
        <w:rPr>
          <w:rFonts w:ascii="仿宋_GB2312" w:hAnsi="??_GB2312" w:eastAsia="仿宋_GB2312" w:cs="??_GB2312"/>
          <w:b/>
          <w:bCs/>
          <w:color w:val="000000"/>
          <w:kern w:val="0"/>
          <w:sz w:val="32"/>
          <w:szCs w:val="32"/>
          <w:highlight w:val="none"/>
          <w:shd w:val="clear" w:color="auto" w:fill="FFFFFF"/>
        </w:rPr>
        <w:t>1</w:t>
      </w:r>
      <w:r>
        <w:rPr>
          <w:rFonts w:hint="eastAsia" w:ascii="仿宋_GB2312" w:hAnsi="宋体" w:eastAsia="仿宋_GB2312" w:cs="宋体"/>
          <w:b/>
          <w:bCs/>
          <w:color w:val="000000"/>
          <w:kern w:val="0"/>
          <w:sz w:val="32"/>
          <w:szCs w:val="32"/>
          <w:highlight w:val="none"/>
          <w:shd w:val="clear" w:color="auto" w:fill="FFFFFF"/>
        </w:rPr>
        <w:t>、预算绩效管理工作开展情况</w:t>
      </w:r>
    </w:p>
    <w:p>
      <w:pPr>
        <w:pStyle w:val="2"/>
        <w:spacing w:line="520" w:lineRule="exact"/>
        <w:ind w:firstLine="648" w:firstLineChars="200"/>
        <w:rPr>
          <w:rFonts w:ascii="仿宋_GB2312" w:hAnsi="宋体" w:eastAsia="仿宋_GB2312"/>
          <w:sz w:val="32"/>
          <w:szCs w:val="32"/>
          <w:highlight w:val="none"/>
        </w:rPr>
      </w:pPr>
      <w:r>
        <w:rPr>
          <w:rFonts w:hint="eastAsia" w:ascii="仿宋_GB2312" w:hAnsi="宋体" w:eastAsia="仿宋_GB2312"/>
          <w:spacing w:val="2"/>
          <w:sz w:val="32"/>
          <w:szCs w:val="32"/>
          <w:highlight w:val="none"/>
        </w:rPr>
        <w:t>根</w:t>
      </w:r>
      <w:r>
        <w:rPr>
          <w:rFonts w:hint="eastAsia" w:ascii="仿宋_GB2312" w:hAnsi="宋体" w:eastAsia="仿宋_GB2312"/>
          <w:sz w:val="32"/>
          <w:szCs w:val="32"/>
          <w:highlight w:val="none"/>
        </w:rPr>
        <w:t>据市</w:t>
      </w:r>
      <w:r>
        <w:rPr>
          <w:rFonts w:hint="eastAsia" w:ascii="仿宋_GB2312" w:hAnsi="宋体" w:eastAsia="仿宋_GB2312"/>
          <w:spacing w:val="2"/>
          <w:sz w:val="32"/>
          <w:szCs w:val="32"/>
          <w:highlight w:val="none"/>
        </w:rPr>
        <w:t>财</w:t>
      </w:r>
      <w:r>
        <w:rPr>
          <w:rFonts w:hint="eastAsia" w:ascii="仿宋_GB2312" w:hAnsi="宋体" w:eastAsia="仿宋_GB2312"/>
          <w:sz w:val="32"/>
          <w:szCs w:val="32"/>
          <w:highlight w:val="none"/>
        </w:rPr>
        <w:t>政预算</w:t>
      </w:r>
      <w:r>
        <w:rPr>
          <w:rFonts w:hint="eastAsia" w:ascii="仿宋_GB2312" w:hAnsi="宋体" w:eastAsia="仿宋_GB2312"/>
          <w:spacing w:val="2"/>
          <w:sz w:val="32"/>
          <w:szCs w:val="32"/>
          <w:highlight w:val="none"/>
        </w:rPr>
        <w:t>绩</w:t>
      </w:r>
      <w:r>
        <w:rPr>
          <w:rFonts w:hint="eastAsia" w:ascii="仿宋_GB2312" w:hAnsi="宋体" w:eastAsia="仿宋_GB2312"/>
          <w:sz w:val="32"/>
          <w:szCs w:val="32"/>
          <w:highlight w:val="none"/>
        </w:rPr>
        <w:t>效管</w:t>
      </w:r>
      <w:r>
        <w:rPr>
          <w:rFonts w:hint="eastAsia" w:ascii="仿宋_GB2312" w:hAnsi="宋体" w:eastAsia="仿宋_GB2312"/>
          <w:spacing w:val="2"/>
          <w:sz w:val="32"/>
          <w:szCs w:val="32"/>
          <w:highlight w:val="none"/>
        </w:rPr>
        <w:t>理</w:t>
      </w:r>
      <w:r>
        <w:rPr>
          <w:rFonts w:hint="eastAsia" w:ascii="仿宋_GB2312" w:hAnsi="宋体" w:eastAsia="仿宋_GB2312"/>
          <w:sz w:val="32"/>
          <w:szCs w:val="32"/>
          <w:highlight w:val="none"/>
        </w:rPr>
        <w:t>要求</w:t>
      </w:r>
      <w:r>
        <w:rPr>
          <w:rFonts w:hint="eastAsia" w:ascii="仿宋_GB2312" w:hAnsi="宋体" w:eastAsia="仿宋_GB2312"/>
          <w:spacing w:val="-59"/>
          <w:sz w:val="32"/>
          <w:szCs w:val="32"/>
          <w:highlight w:val="none"/>
        </w:rPr>
        <w:t>，以</w:t>
      </w:r>
      <w:r>
        <w:rPr>
          <w:rFonts w:hint="eastAsia" w:ascii="仿宋_GB2312" w:hAnsi="宋体" w:eastAsia="仿宋_GB2312"/>
          <w:spacing w:val="2"/>
          <w:sz w:val="32"/>
          <w:szCs w:val="32"/>
          <w:highlight w:val="none"/>
        </w:rPr>
        <w:t>“</w:t>
      </w:r>
      <w:r>
        <w:rPr>
          <w:rFonts w:hint="eastAsia" w:ascii="仿宋_GB2312" w:hAnsi="宋体" w:eastAsia="仿宋_GB2312"/>
          <w:sz w:val="32"/>
          <w:szCs w:val="32"/>
          <w:highlight w:val="none"/>
        </w:rPr>
        <w:t>部门</w:t>
      </w:r>
      <w:r>
        <w:rPr>
          <w:rFonts w:hint="eastAsia" w:ascii="仿宋_GB2312" w:hAnsi="宋体" w:eastAsia="仿宋_GB2312"/>
          <w:spacing w:val="2"/>
          <w:sz w:val="32"/>
          <w:szCs w:val="32"/>
          <w:highlight w:val="none"/>
        </w:rPr>
        <w:t>职</w:t>
      </w:r>
      <w:r>
        <w:rPr>
          <w:rFonts w:hint="eastAsia" w:ascii="仿宋_GB2312" w:hAnsi="宋体" w:eastAsia="仿宋_GB2312"/>
          <w:sz w:val="32"/>
          <w:szCs w:val="32"/>
          <w:highlight w:val="none"/>
        </w:rPr>
        <w:t>责</w:t>
      </w:r>
      <w:r>
        <w:rPr>
          <w:rFonts w:ascii="仿宋_GB2312" w:hAnsi="宋体" w:eastAsia="仿宋_GB2312" w:cs="黑体"/>
          <w:spacing w:val="1"/>
          <w:w w:val="95"/>
          <w:sz w:val="32"/>
          <w:szCs w:val="32"/>
          <w:highlight w:val="none"/>
        </w:rPr>
        <w:t>—</w:t>
      </w:r>
      <w:r>
        <w:rPr>
          <w:rFonts w:hint="eastAsia" w:ascii="仿宋_GB2312" w:hAnsi="宋体" w:eastAsia="仿宋_GB2312"/>
          <w:w w:val="95"/>
          <w:sz w:val="32"/>
          <w:szCs w:val="32"/>
          <w:highlight w:val="none"/>
        </w:rPr>
        <w:t>工作</w:t>
      </w:r>
      <w:r>
        <w:rPr>
          <w:rFonts w:hint="eastAsia" w:ascii="仿宋_GB2312" w:hAnsi="宋体" w:eastAsia="仿宋_GB2312"/>
          <w:spacing w:val="1"/>
          <w:w w:val="95"/>
          <w:sz w:val="32"/>
          <w:szCs w:val="32"/>
          <w:highlight w:val="none"/>
        </w:rPr>
        <w:t>活</w:t>
      </w:r>
      <w:r>
        <w:rPr>
          <w:rFonts w:hint="eastAsia" w:ascii="仿宋_GB2312" w:hAnsi="宋体" w:eastAsia="仿宋_GB2312"/>
          <w:w w:val="95"/>
          <w:sz w:val="32"/>
          <w:szCs w:val="32"/>
          <w:highlight w:val="none"/>
        </w:rPr>
        <w:t>动</w:t>
      </w:r>
      <w:r>
        <w:rPr>
          <w:rFonts w:hint="eastAsia" w:ascii="仿宋_GB2312" w:hAnsi="宋体" w:eastAsia="仿宋_GB2312"/>
          <w:spacing w:val="-38"/>
          <w:w w:val="95"/>
          <w:sz w:val="32"/>
          <w:szCs w:val="32"/>
          <w:highlight w:val="none"/>
        </w:rPr>
        <w:t>”</w:t>
      </w:r>
      <w:r>
        <w:rPr>
          <w:rFonts w:hint="eastAsia" w:ascii="仿宋_GB2312" w:hAnsi="宋体" w:eastAsia="仿宋_GB2312"/>
          <w:w w:val="95"/>
          <w:sz w:val="32"/>
          <w:szCs w:val="32"/>
          <w:highlight w:val="none"/>
        </w:rPr>
        <w:t>为</w:t>
      </w:r>
      <w:r>
        <w:rPr>
          <w:rFonts w:hint="eastAsia" w:ascii="仿宋_GB2312" w:hAnsi="宋体" w:eastAsia="仿宋_GB2312"/>
          <w:spacing w:val="1"/>
          <w:w w:val="95"/>
          <w:sz w:val="32"/>
          <w:szCs w:val="32"/>
          <w:highlight w:val="none"/>
        </w:rPr>
        <w:t>依</w:t>
      </w:r>
      <w:r>
        <w:rPr>
          <w:rFonts w:hint="eastAsia" w:ascii="仿宋_GB2312" w:hAnsi="宋体" w:eastAsia="仿宋_GB2312"/>
          <w:w w:val="95"/>
          <w:sz w:val="32"/>
          <w:szCs w:val="32"/>
          <w:highlight w:val="none"/>
        </w:rPr>
        <w:t>据</w:t>
      </w:r>
      <w:r>
        <w:rPr>
          <w:rFonts w:hint="eastAsia" w:ascii="仿宋_GB2312" w:hAnsi="宋体" w:eastAsia="仿宋_GB2312"/>
          <w:spacing w:val="-38"/>
          <w:w w:val="95"/>
          <w:sz w:val="32"/>
          <w:szCs w:val="32"/>
          <w:highlight w:val="none"/>
        </w:rPr>
        <w:t>，</w:t>
      </w:r>
      <w:r>
        <w:rPr>
          <w:rFonts w:hint="eastAsia" w:ascii="仿宋_GB2312" w:hAnsi="宋体" w:eastAsia="仿宋_GB2312"/>
          <w:spacing w:val="1"/>
          <w:w w:val="95"/>
          <w:sz w:val="32"/>
          <w:szCs w:val="32"/>
          <w:highlight w:val="none"/>
        </w:rPr>
        <w:t>确</w:t>
      </w:r>
      <w:r>
        <w:rPr>
          <w:rFonts w:hint="eastAsia" w:ascii="仿宋_GB2312" w:hAnsi="宋体" w:eastAsia="仿宋_GB2312"/>
          <w:w w:val="95"/>
          <w:sz w:val="32"/>
          <w:szCs w:val="32"/>
          <w:highlight w:val="none"/>
        </w:rPr>
        <w:t>定部门</w:t>
      </w:r>
      <w:r>
        <w:rPr>
          <w:rFonts w:hint="eastAsia" w:ascii="仿宋_GB2312" w:hAnsi="宋体" w:eastAsia="仿宋_GB2312"/>
          <w:spacing w:val="1"/>
          <w:w w:val="95"/>
          <w:sz w:val="32"/>
          <w:szCs w:val="32"/>
          <w:highlight w:val="none"/>
        </w:rPr>
        <w:t>预</w:t>
      </w:r>
      <w:r>
        <w:rPr>
          <w:rFonts w:hint="eastAsia" w:ascii="仿宋_GB2312" w:hAnsi="宋体" w:eastAsia="仿宋_GB2312"/>
          <w:w w:val="95"/>
          <w:sz w:val="32"/>
          <w:szCs w:val="32"/>
          <w:highlight w:val="none"/>
        </w:rPr>
        <w:t>算项</w:t>
      </w:r>
      <w:r>
        <w:rPr>
          <w:rFonts w:hint="eastAsia" w:ascii="仿宋_GB2312" w:hAnsi="宋体" w:eastAsia="仿宋_GB2312"/>
          <w:spacing w:val="1"/>
          <w:w w:val="95"/>
          <w:sz w:val="32"/>
          <w:szCs w:val="32"/>
          <w:highlight w:val="none"/>
        </w:rPr>
        <w:t>目</w:t>
      </w:r>
      <w:r>
        <w:rPr>
          <w:rFonts w:hint="eastAsia" w:ascii="仿宋_GB2312" w:hAnsi="宋体" w:eastAsia="仿宋_GB2312"/>
          <w:w w:val="95"/>
          <w:sz w:val="32"/>
          <w:szCs w:val="32"/>
          <w:highlight w:val="none"/>
        </w:rPr>
        <w:t>和预算</w:t>
      </w:r>
      <w:r>
        <w:rPr>
          <w:rFonts w:hint="eastAsia" w:ascii="仿宋_GB2312" w:hAnsi="宋体" w:eastAsia="仿宋_GB2312"/>
          <w:spacing w:val="1"/>
          <w:w w:val="95"/>
          <w:sz w:val="32"/>
          <w:szCs w:val="32"/>
          <w:highlight w:val="none"/>
        </w:rPr>
        <w:t>额</w:t>
      </w:r>
      <w:r>
        <w:rPr>
          <w:rFonts w:hint="eastAsia" w:ascii="仿宋_GB2312" w:hAnsi="宋体" w:eastAsia="仿宋_GB2312"/>
          <w:w w:val="95"/>
          <w:sz w:val="32"/>
          <w:szCs w:val="32"/>
          <w:highlight w:val="none"/>
        </w:rPr>
        <w:t>度</w:t>
      </w:r>
      <w:r>
        <w:rPr>
          <w:rFonts w:hint="eastAsia" w:ascii="仿宋_GB2312" w:hAnsi="宋体" w:eastAsia="仿宋_GB2312"/>
          <w:spacing w:val="-38"/>
          <w:w w:val="95"/>
          <w:sz w:val="32"/>
          <w:szCs w:val="32"/>
          <w:highlight w:val="none"/>
        </w:rPr>
        <w:t>，</w:t>
      </w:r>
      <w:r>
        <w:rPr>
          <w:rFonts w:hint="eastAsia" w:ascii="仿宋_GB2312" w:hAnsi="宋体" w:eastAsia="仿宋_GB2312"/>
          <w:spacing w:val="1"/>
          <w:w w:val="95"/>
          <w:sz w:val="32"/>
          <w:szCs w:val="32"/>
          <w:highlight w:val="none"/>
        </w:rPr>
        <w:t>清</w:t>
      </w:r>
      <w:r>
        <w:rPr>
          <w:rFonts w:hint="eastAsia" w:ascii="仿宋_GB2312" w:hAnsi="宋体" w:eastAsia="仿宋_GB2312"/>
          <w:w w:val="95"/>
          <w:sz w:val="32"/>
          <w:szCs w:val="32"/>
          <w:highlight w:val="none"/>
        </w:rPr>
        <w:t>晰描述</w:t>
      </w:r>
      <w:r>
        <w:rPr>
          <w:rFonts w:hint="eastAsia" w:ascii="仿宋_GB2312" w:hAnsi="宋体" w:eastAsia="仿宋_GB2312"/>
          <w:spacing w:val="1"/>
          <w:w w:val="95"/>
          <w:sz w:val="32"/>
          <w:szCs w:val="32"/>
          <w:highlight w:val="none"/>
        </w:rPr>
        <w:t>预</w:t>
      </w:r>
      <w:r>
        <w:rPr>
          <w:rFonts w:hint="eastAsia" w:ascii="仿宋_GB2312" w:hAnsi="宋体" w:eastAsia="仿宋_GB2312"/>
          <w:w w:val="95"/>
          <w:sz w:val="32"/>
          <w:szCs w:val="32"/>
          <w:highlight w:val="none"/>
        </w:rPr>
        <w:t>算项</w:t>
      </w:r>
      <w:r>
        <w:rPr>
          <w:rFonts w:hint="eastAsia" w:ascii="仿宋_GB2312" w:hAnsi="宋体" w:eastAsia="仿宋_GB2312"/>
          <w:spacing w:val="1"/>
          <w:w w:val="95"/>
          <w:sz w:val="32"/>
          <w:szCs w:val="32"/>
          <w:highlight w:val="none"/>
        </w:rPr>
        <w:t>目</w:t>
      </w:r>
      <w:r>
        <w:rPr>
          <w:rFonts w:hint="eastAsia" w:ascii="仿宋_GB2312" w:hAnsi="宋体" w:eastAsia="仿宋_GB2312"/>
          <w:w w:val="95"/>
          <w:sz w:val="32"/>
          <w:szCs w:val="32"/>
          <w:highlight w:val="none"/>
        </w:rPr>
        <w:t>开支范</w:t>
      </w:r>
      <w:r>
        <w:rPr>
          <w:rFonts w:hint="eastAsia" w:ascii="仿宋_GB2312" w:hAnsi="宋体" w:eastAsia="仿宋_GB2312"/>
          <w:spacing w:val="1"/>
          <w:w w:val="95"/>
          <w:sz w:val="32"/>
          <w:szCs w:val="32"/>
          <w:highlight w:val="none"/>
        </w:rPr>
        <w:t>围</w:t>
      </w:r>
      <w:r>
        <w:rPr>
          <w:rFonts w:hint="eastAsia" w:ascii="仿宋_GB2312" w:hAnsi="宋体" w:eastAsia="仿宋_GB2312"/>
          <w:w w:val="95"/>
          <w:sz w:val="32"/>
          <w:szCs w:val="32"/>
          <w:highlight w:val="none"/>
        </w:rPr>
        <w:t>和内</w:t>
      </w:r>
      <w:r>
        <w:rPr>
          <w:rFonts w:hint="eastAsia" w:ascii="仿宋_GB2312" w:hAnsi="宋体" w:eastAsia="仿宋_GB2312"/>
          <w:spacing w:val="1"/>
          <w:w w:val="95"/>
          <w:sz w:val="32"/>
          <w:szCs w:val="32"/>
          <w:highlight w:val="none"/>
        </w:rPr>
        <w:t>容</w:t>
      </w:r>
      <w:r>
        <w:rPr>
          <w:rFonts w:hint="eastAsia" w:ascii="仿宋_GB2312" w:hAnsi="宋体" w:eastAsia="仿宋_GB2312"/>
          <w:spacing w:val="-56"/>
          <w:w w:val="95"/>
          <w:sz w:val="32"/>
          <w:szCs w:val="32"/>
          <w:highlight w:val="none"/>
        </w:rPr>
        <w:t>，</w:t>
      </w:r>
      <w:r>
        <w:rPr>
          <w:rFonts w:hint="eastAsia" w:ascii="仿宋_GB2312" w:hAnsi="宋体" w:eastAsia="仿宋_GB2312"/>
          <w:w w:val="95"/>
          <w:sz w:val="32"/>
          <w:szCs w:val="32"/>
          <w:highlight w:val="none"/>
        </w:rPr>
        <w:t>确定</w:t>
      </w:r>
      <w:r>
        <w:rPr>
          <w:rFonts w:hint="eastAsia" w:ascii="仿宋_GB2312" w:hAnsi="宋体" w:eastAsia="仿宋_GB2312"/>
          <w:spacing w:val="1"/>
          <w:w w:val="95"/>
          <w:sz w:val="32"/>
          <w:szCs w:val="32"/>
          <w:highlight w:val="none"/>
        </w:rPr>
        <w:t>预</w:t>
      </w:r>
      <w:r>
        <w:rPr>
          <w:rFonts w:hint="eastAsia" w:ascii="仿宋_GB2312" w:hAnsi="宋体" w:eastAsia="仿宋_GB2312"/>
          <w:w w:val="95"/>
          <w:sz w:val="32"/>
          <w:szCs w:val="32"/>
          <w:highlight w:val="none"/>
        </w:rPr>
        <w:t>算项</w:t>
      </w:r>
      <w:r>
        <w:rPr>
          <w:rFonts w:hint="eastAsia" w:ascii="仿宋_GB2312" w:hAnsi="宋体" w:eastAsia="仿宋_GB2312"/>
          <w:spacing w:val="1"/>
          <w:w w:val="95"/>
          <w:sz w:val="32"/>
          <w:szCs w:val="32"/>
          <w:highlight w:val="none"/>
        </w:rPr>
        <w:t>目</w:t>
      </w:r>
      <w:r>
        <w:rPr>
          <w:rFonts w:hint="eastAsia" w:ascii="仿宋_GB2312" w:hAnsi="宋体" w:eastAsia="仿宋_GB2312"/>
          <w:w w:val="95"/>
          <w:sz w:val="32"/>
          <w:szCs w:val="32"/>
          <w:highlight w:val="none"/>
        </w:rPr>
        <w:t>的绩效</w:t>
      </w:r>
      <w:r>
        <w:rPr>
          <w:rFonts w:hint="eastAsia" w:ascii="仿宋_GB2312" w:hAnsi="宋体" w:eastAsia="仿宋_GB2312"/>
          <w:spacing w:val="1"/>
          <w:w w:val="95"/>
          <w:sz w:val="32"/>
          <w:szCs w:val="32"/>
          <w:highlight w:val="none"/>
        </w:rPr>
        <w:t>目</w:t>
      </w:r>
      <w:r>
        <w:rPr>
          <w:rFonts w:hint="eastAsia" w:ascii="仿宋_GB2312" w:hAnsi="宋体" w:eastAsia="仿宋_GB2312"/>
          <w:w w:val="95"/>
          <w:sz w:val="32"/>
          <w:szCs w:val="32"/>
          <w:highlight w:val="none"/>
        </w:rPr>
        <w:t>标</w:t>
      </w:r>
      <w:r>
        <w:rPr>
          <w:rFonts w:hint="eastAsia" w:ascii="仿宋_GB2312" w:hAnsi="宋体" w:eastAsia="仿宋_GB2312"/>
          <w:spacing w:val="-56"/>
          <w:w w:val="95"/>
          <w:sz w:val="32"/>
          <w:szCs w:val="32"/>
          <w:highlight w:val="none"/>
        </w:rPr>
        <w:t>、</w:t>
      </w:r>
      <w:r>
        <w:rPr>
          <w:rFonts w:hint="eastAsia" w:ascii="仿宋_GB2312" w:hAnsi="宋体" w:eastAsia="仿宋_GB2312"/>
          <w:spacing w:val="1"/>
          <w:w w:val="95"/>
          <w:sz w:val="32"/>
          <w:szCs w:val="32"/>
          <w:highlight w:val="none"/>
        </w:rPr>
        <w:t>绩</w:t>
      </w:r>
      <w:r>
        <w:rPr>
          <w:rFonts w:hint="eastAsia" w:ascii="仿宋_GB2312" w:hAnsi="宋体" w:eastAsia="仿宋_GB2312"/>
          <w:w w:val="95"/>
          <w:sz w:val="32"/>
          <w:szCs w:val="32"/>
          <w:highlight w:val="none"/>
        </w:rPr>
        <w:t>效指标</w:t>
      </w:r>
      <w:r>
        <w:rPr>
          <w:rFonts w:hint="eastAsia" w:ascii="仿宋_GB2312" w:hAnsi="宋体" w:eastAsia="仿宋_GB2312"/>
          <w:spacing w:val="1"/>
          <w:w w:val="95"/>
          <w:sz w:val="32"/>
          <w:szCs w:val="32"/>
          <w:highlight w:val="none"/>
        </w:rPr>
        <w:t>和</w:t>
      </w:r>
      <w:r>
        <w:rPr>
          <w:rFonts w:hint="eastAsia" w:ascii="仿宋_GB2312" w:hAnsi="宋体" w:eastAsia="仿宋_GB2312"/>
          <w:w w:val="95"/>
          <w:sz w:val="32"/>
          <w:szCs w:val="32"/>
          <w:highlight w:val="none"/>
        </w:rPr>
        <w:t>评价</w:t>
      </w:r>
      <w:r>
        <w:rPr>
          <w:rFonts w:hint="eastAsia" w:ascii="仿宋_GB2312" w:hAnsi="宋体" w:eastAsia="仿宋_GB2312"/>
          <w:spacing w:val="1"/>
          <w:w w:val="95"/>
          <w:sz w:val="32"/>
          <w:szCs w:val="32"/>
          <w:highlight w:val="none"/>
        </w:rPr>
        <w:t>标</w:t>
      </w:r>
      <w:r>
        <w:rPr>
          <w:rFonts w:hint="eastAsia" w:ascii="仿宋_GB2312" w:hAnsi="宋体" w:eastAsia="仿宋_GB2312"/>
          <w:w w:val="95"/>
          <w:sz w:val="32"/>
          <w:szCs w:val="32"/>
          <w:highlight w:val="none"/>
        </w:rPr>
        <w:t>准</w:t>
      </w:r>
      <w:r>
        <w:rPr>
          <w:rFonts w:hint="eastAsia" w:ascii="仿宋_GB2312" w:hAnsi="宋体" w:eastAsia="仿宋_GB2312"/>
          <w:spacing w:val="-38"/>
          <w:w w:val="95"/>
          <w:sz w:val="32"/>
          <w:szCs w:val="32"/>
          <w:highlight w:val="none"/>
        </w:rPr>
        <w:t>，</w:t>
      </w:r>
      <w:r>
        <w:rPr>
          <w:rFonts w:hint="eastAsia" w:ascii="仿宋_GB2312" w:hAnsi="宋体" w:eastAsia="仿宋_GB2312"/>
          <w:w w:val="95"/>
          <w:sz w:val="32"/>
          <w:szCs w:val="32"/>
          <w:highlight w:val="none"/>
        </w:rPr>
        <w:t>为</w:t>
      </w:r>
      <w:r>
        <w:rPr>
          <w:rFonts w:hint="eastAsia" w:ascii="仿宋_GB2312" w:hAnsi="宋体" w:eastAsia="仿宋_GB2312"/>
          <w:spacing w:val="1"/>
          <w:w w:val="95"/>
          <w:sz w:val="32"/>
          <w:szCs w:val="32"/>
          <w:highlight w:val="none"/>
        </w:rPr>
        <w:t>预</w:t>
      </w:r>
      <w:r>
        <w:rPr>
          <w:rFonts w:hint="eastAsia" w:ascii="仿宋_GB2312" w:hAnsi="宋体" w:eastAsia="仿宋_GB2312"/>
          <w:w w:val="95"/>
          <w:sz w:val="32"/>
          <w:szCs w:val="32"/>
          <w:highlight w:val="none"/>
        </w:rPr>
        <w:t>算绩</w:t>
      </w:r>
      <w:r>
        <w:rPr>
          <w:rFonts w:hint="eastAsia" w:ascii="仿宋_GB2312" w:hAnsi="宋体" w:eastAsia="仿宋_GB2312"/>
          <w:spacing w:val="1"/>
          <w:w w:val="95"/>
          <w:sz w:val="32"/>
          <w:szCs w:val="32"/>
          <w:highlight w:val="none"/>
        </w:rPr>
        <w:t>效</w:t>
      </w:r>
      <w:r>
        <w:rPr>
          <w:rFonts w:hint="eastAsia" w:ascii="仿宋_GB2312" w:hAnsi="宋体" w:eastAsia="仿宋_GB2312"/>
          <w:w w:val="95"/>
          <w:sz w:val="32"/>
          <w:szCs w:val="32"/>
          <w:highlight w:val="none"/>
        </w:rPr>
        <w:t>控制</w:t>
      </w:r>
      <w:r>
        <w:rPr>
          <w:rFonts w:hint="eastAsia" w:ascii="仿宋_GB2312" w:hAnsi="宋体" w:eastAsia="仿宋_GB2312"/>
          <w:spacing w:val="-38"/>
          <w:w w:val="95"/>
          <w:sz w:val="32"/>
          <w:szCs w:val="32"/>
          <w:highlight w:val="none"/>
        </w:rPr>
        <w:t>、</w:t>
      </w:r>
      <w:r>
        <w:rPr>
          <w:rFonts w:hint="eastAsia" w:ascii="仿宋_GB2312" w:hAnsi="宋体" w:eastAsia="仿宋_GB2312"/>
          <w:spacing w:val="1"/>
          <w:w w:val="95"/>
          <w:sz w:val="32"/>
          <w:szCs w:val="32"/>
          <w:highlight w:val="none"/>
        </w:rPr>
        <w:t>绩</w:t>
      </w:r>
      <w:r>
        <w:rPr>
          <w:rFonts w:hint="eastAsia" w:ascii="仿宋_GB2312" w:hAnsi="宋体" w:eastAsia="仿宋_GB2312"/>
          <w:w w:val="95"/>
          <w:sz w:val="32"/>
          <w:szCs w:val="32"/>
          <w:highlight w:val="none"/>
        </w:rPr>
        <w:t>效分</w:t>
      </w:r>
      <w:r>
        <w:rPr>
          <w:rFonts w:hint="eastAsia" w:ascii="仿宋_GB2312" w:hAnsi="宋体" w:eastAsia="仿宋_GB2312"/>
          <w:spacing w:val="1"/>
          <w:w w:val="95"/>
          <w:sz w:val="32"/>
          <w:szCs w:val="32"/>
          <w:highlight w:val="none"/>
        </w:rPr>
        <w:t>析</w:t>
      </w:r>
      <w:r>
        <w:rPr>
          <w:rFonts w:hint="eastAsia" w:ascii="仿宋_GB2312" w:hAnsi="宋体" w:eastAsia="仿宋_GB2312"/>
          <w:spacing w:val="-38"/>
          <w:w w:val="95"/>
          <w:sz w:val="32"/>
          <w:szCs w:val="32"/>
          <w:highlight w:val="none"/>
        </w:rPr>
        <w:t>、</w:t>
      </w:r>
      <w:r>
        <w:rPr>
          <w:rFonts w:hint="eastAsia" w:ascii="仿宋_GB2312" w:hAnsi="宋体" w:eastAsia="仿宋_GB2312"/>
          <w:w w:val="95"/>
          <w:sz w:val="32"/>
          <w:szCs w:val="32"/>
          <w:highlight w:val="none"/>
        </w:rPr>
        <w:t>绩效</w:t>
      </w:r>
      <w:r>
        <w:rPr>
          <w:rFonts w:hint="eastAsia" w:ascii="仿宋_GB2312" w:hAnsi="宋体" w:eastAsia="仿宋_GB2312"/>
          <w:spacing w:val="1"/>
          <w:w w:val="95"/>
          <w:sz w:val="32"/>
          <w:szCs w:val="32"/>
          <w:highlight w:val="none"/>
        </w:rPr>
        <w:t>评</w:t>
      </w:r>
      <w:r>
        <w:rPr>
          <w:rFonts w:hint="eastAsia" w:ascii="仿宋_GB2312" w:hAnsi="宋体" w:eastAsia="仿宋_GB2312"/>
          <w:w w:val="95"/>
          <w:sz w:val="32"/>
          <w:szCs w:val="32"/>
          <w:highlight w:val="none"/>
        </w:rPr>
        <w:t>价打</w:t>
      </w:r>
      <w:r>
        <w:rPr>
          <w:rFonts w:hint="eastAsia" w:ascii="仿宋_GB2312" w:hAnsi="宋体" w:eastAsia="仿宋_GB2312"/>
          <w:spacing w:val="1"/>
          <w:w w:val="95"/>
          <w:sz w:val="32"/>
          <w:szCs w:val="32"/>
          <w:highlight w:val="none"/>
        </w:rPr>
        <w:t>下</w:t>
      </w:r>
      <w:r>
        <w:rPr>
          <w:rFonts w:hint="eastAsia" w:ascii="仿宋_GB2312" w:hAnsi="宋体" w:eastAsia="仿宋_GB2312"/>
          <w:w w:val="95"/>
          <w:sz w:val="32"/>
          <w:szCs w:val="32"/>
          <w:highlight w:val="none"/>
        </w:rPr>
        <w:t>好的基</w:t>
      </w:r>
      <w:r>
        <w:rPr>
          <w:rFonts w:hint="eastAsia" w:ascii="仿宋_GB2312" w:hAnsi="宋体" w:eastAsia="仿宋_GB2312"/>
          <w:spacing w:val="2"/>
          <w:sz w:val="32"/>
          <w:szCs w:val="32"/>
          <w:highlight w:val="none"/>
        </w:rPr>
        <w:t>础。</w:t>
      </w:r>
    </w:p>
    <w:p>
      <w:pPr>
        <w:autoSpaceDE w:val="0"/>
        <w:autoSpaceDN w:val="0"/>
        <w:snapToGrid w:val="0"/>
        <w:spacing w:line="560" w:lineRule="exact"/>
        <w:ind w:firstLine="643" w:firstLineChars="200"/>
        <w:rPr>
          <w:rFonts w:ascii="仿宋_GB2312" w:hAnsi="??_GB2312" w:eastAsia="仿宋_GB2312" w:cs="??_GB2312"/>
          <w:b/>
          <w:bCs/>
          <w:color w:val="000000"/>
          <w:kern w:val="0"/>
          <w:sz w:val="32"/>
          <w:szCs w:val="32"/>
          <w:highlight w:val="none"/>
          <w:shd w:val="clear" w:color="auto" w:fill="FFFFFF"/>
        </w:rPr>
      </w:pPr>
      <w:r>
        <w:rPr>
          <w:rFonts w:ascii="仿宋_GB2312" w:hAnsi="??_GB2312" w:eastAsia="仿宋_GB2312" w:cs="??_GB2312"/>
          <w:b/>
          <w:bCs/>
          <w:color w:val="000000"/>
          <w:kern w:val="0"/>
          <w:sz w:val="32"/>
          <w:szCs w:val="32"/>
          <w:highlight w:val="none"/>
          <w:shd w:val="clear" w:color="auto" w:fill="FFFFFF"/>
        </w:rPr>
        <w:t>2</w:t>
      </w:r>
      <w:r>
        <w:rPr>
          <w:rFonts w:hint="eastAsia" w:ascii="仿宋_GB2312" w:hAnsi="宋体" w:eastAsia="仿宋_GB2312" w:cs="宋体"/>
          <w:b/>
          <w:bCs/>
          <w:color w:val="000000"/>
          <w:kern w:val="0"/>
          <w:sz w:val="32"/>
          <w:szCs w:val="32"/>
          <w:highlight w:val="none"/>
          <w:shd w:val="clear" w:color="auto" w:fill="FFFFFF"/>
        </w:rPr>
        <w:t>、预算项目绩效评价开展情况</w:t>
      </w:r>
    </w:p>
    <w:p>
      <w:pPr>
        <w:pStyle w:val="2"/>
        <w:spacing w:before="74" w:line="520" w:lineRule="exact"/>
        <w:ind w:right="429" w:firstLine="648" w:firstLineChars="200"/>
        <w:rPr>
          <w:rFonts w:ascii="仿宋_GB2312" w:hAnsi="宋体" w:eastAsia="仿宋_GB2312"/>
          <w:sz w:val="32"/>
          <w:szCs w:val="32"/>
          <w:highlight w:val="none"/>
        </w:rPr>
      </w:pPr>
      <w:r>
        <w:rPr>
          <w:rFonts w:hint="eastAsia" w:ascii="仿宋_GB2312" w:hAnsi="宋体" w:eastAsia="仿宋_GB2312"/>
          <w:spacing w:val="2"/>
          <w:sz w:val="32"/>
          <w:szCs w:val="32"/>
          <w:highlight w:val="none"/>
        </w:rPr>
        <w:t>按</w:t>
      </w:r>
      <w:r>
        <w:rPr>
          <w:rFonts w:hint="eastAsia" w:ascii="仿宋_GB2312" w:hAnsi="宋体" w:eastAsia="仿宋_GB2312"/>
          <w:sz w:val="32"/>
          <w:szCs w:val="32"/>
          <w:highlight w:val="none"/>
        </w:rPr>
        <w:t>照市</w:t>
      </w:r>
      <w:r>
        <w:rPr>
          <w:rFonts w:hint="eastAsia" w:ascii="仿宋_GB2312" w:hAnsi="宋体" w:eastAsia="仿宋_GB2312"/>
          <w:spacing w:val="2"/>
          <w:sz w:val="32"/>
          <w:szCs w:val="32"/>
          <w:highlight w:val="none"/>
        </w:rPr>
        <w:t>财</w:t>
      </w:r>
      <w:r>
        <w:rPr>
          <w:rFonts w:hint="eastAsia" w:ascii="仿宋_GB2312" w:hAnsi="宋体" w:eastAsia="仿宋_GB2312"/>
          <w:sz w:val="32"/>
          <w:szCs w:val="32"/>
          <w:highlight w:val="none"/>
        </w:rPr>
        <w:t>政预算</w:t>
      </w:r>
      <w:r>
        <w:rPr>
          <w:rFonts w:hint="eastAsia" w:ascii="仿宋_GB2312" w:hAnsi="宋体" w:eastAsia="仿宋_GB2312"/>
          <w:spacing w:val="2"/>
          <w:sz w:val="32"/>
          <w:szCs w:val="32"/>
          <w:highlight w:val="none"/>
        </w:rPr>
        <w:t>绩</w:t>
      </w:r>
      <w:r>
        <w:rPr>
          <w:rFonts w:hint="eastAsia" w:ascii="仿宋_GB2312" w:hAnsi="宋体" w:eastAsia="仿宋_GB2312"/>
          <w:sz w:val="32"/>
          <w:szCs w:val="32"/>
          <w:highlight w:val="none"/>
        </w:rPr>
        <w:t>效管</w:t>
      </w:r>
      <w:r>
        <w:rPr>
          <w:rFonts w:hint="eastAsia" w:ascii="仿宋_GB2312" w:hAnsi="宋体" w:eastAsia="仿宋_GB2312"/>
          <w:spacing w:val="2"/>
          <w:sz w:val="32"/>
          <w:szCs w:val="32"/>
          <w:highlight w:val="none"/>
        </w:rPr>
        <w:t>理</w:t>
      </w:r>
      <w:r>
        <w:rPr>
          <w:rFonts w:hint="eastAsia" w:ascii="仿宋_GB2312" w:hAnsi="宋体" w:eastAsia="仿宋_GB2312"/>
          <w:sz w:val="32"/>
          <w:szCs w:val="32"/>
          <w:highlight w:val="none"/>
        </w:rPr>
        <w:t>要求，对</w:t>
      </w:r>
      <w:r>
        <w:rPr>
          <w:rFonts w:hint="eastAsia" w:ascii="仿宋_GB2312" w:hAnsi="宋体" w:eastAsia="仿宋_GB2312"/>
          <w:spacing w:val="-33"/>
          <w:sz w:val="32"/>
          <w:szCs w:val="32"/>
          <w:highlight w:val="none"/>
        </w:rPr>
        <w:t xml:space="preserve"> </w:t>
      </w:r>
      <w:r>
        <w:rPr>
          <w:rFonts w:hint="eastAsia" w:ascii="仿宋_GB2312" w:hAnsi="宋体" w:eastAsia="仿宋_GB2312" w:cs="Arial"/>
          <w:sz w:val="32"/>
          <w:szCs w:val="32"/>
          <w:highlight w:val="none"/>
        </w:rPr>
        <w:t>20</w:t>
      </w:r>
      <w:r>
        <w:rPr>
          <w:rFonts w:hint="eastAsia" w:ascii="仿宋_GB2312" w:hAnsi="宋体" w:eastAsia="仿宋_GB2312" w:cs="Arial"/>
          <w:spacing w:val="-3"/>
          <w:sz w:val="32"/>
          <w:szCs w:val="32"/>
          <w:highlight w:val="none"/>
        </w:rPr>
        <w:t>1</w:t>
      </w:r>
      <w:r>
        <w:rPr>
          <w:rFonts w:hint="eastAsia" w:ascii="仿宋_GB2312" w:hAnsi="宋体" w:eastAsia="仿宋_GB2312" w:cs="Arial"/>
          <w:sz w:val="32"/>
          <w:szCs w:val="32"/>
          <w:highlight w:val="none"/>
        </w:rPr>
        <w:t>7</w:t>
      </w:r>
      <w:r>
        <w:rPr>
          <w:rFonts w:hint="eastAsia" w:ascii="仿宋_GB2312" w:hAnsi="宋体" w:eastAsia="仿宋_GB2312" w:cs="Arial"/>
          <w:spacing w:val="-41"/>
          <w:sz w:val="32"/>
          <w:szCs w:val="32"/>
          <w:highlight w:val="none"/>
        </w:rPr>
        <w:t xml:space="preserve"> </w:t>
      </w:r>
      <w:r>
        <w:rPr>
          <w:rFonts w:hint="eastAsia" w:ascii="仿宋_GB2312" w:hAnsi="宋体" w:eastAsia="仿宋_GB2312"/>
          <w:sz w:val="32"/>
          <w:szCs w:val="32"/>
          <w:highlight w:val="none"/>
        </w:rPr>
        <w:t>年</w:t>
      </w:r>
      <w:r>
        <w:rPr>
          <w:rFonts w:hint="eastAsia" w:ascii="仿宋_GB2312" w:hAnsi="宋体" w:eastAsia="仿宋_GB2312"/>
          <w:spacing w:val="1"/>
          <w:w w:val="95"/>
          <w:sz w:val="32"/>
          <w:szCs w:val="32"/>
          <w:highlight w:val="none"/>
        </w:rPr>
        <w:t>确</w:t>
      </w:r>
      <w:r>
        <w:rPr>
          <w:rFonts w:hint="eastAsia" w:ascii="仿宋_GB2312" w:hAnsi="宋体" w:eastAsia="仿宋_GB2312"/>
          <w:w w:val="95"/>
          <w:sz w:val="32"/>
          <w:szCs w:val="32"/>
          <w:highlight w:val="none"/>
        </w:rPr>
        <w:t>定的</w:t>
      </w:r>
      <w:r>
        <w:rPr>
          <w:rFonts w:hint="eastAsia" w:ascii="仿宋_GB2312" w:hAnsi="宋体" w:eastAsia="仿宋_GB2312"/>
          <w:spacing w:val="1"/>
          <w:w w:val="95"/>
          <w:sz w:val="32"/>
          <w:szCs w:val="32"/>
          <w:highlight w:val="none"/>
        </w:rPr>
        <w:t>部</w:t>
      </w:r>
      <w:r>
        <w:rPr>
          <w:rFonts w:hint="eastAsia" w:ascii="仿宋_GB2312" w:hAnsi="宋体" w:eastAsia="仿宋_GB2312"/>
          <w:w w:val="95"/>
          <w:sz w:val="32"/>
          <w:szCs w:val="32"/>
          <w:highlight w:val="none"/>
        </w:rPr>
        <w:t>门一般</w:t>
      </w:r>
      <w:r>
        <w:rPr>
          <w:rFonts w:hint="eastAsia" w:ascii="仿宋_GB2312" w:hAnsi="宋体" w:eastAsia="仿宋_GB2312"/>
          <w:spacing w:val="1"/>
          <w:w w:val="95"/>
          <w:sz w:val="32"/>
          <w:szCs w:val="32"/>
          <w:highlight w:val="none"/>
        </w:rPr>
        <w:t>公</w:t>
      </w:r>
      <w:r>
        <w:rPr>
          <w:rFonts w:hint="eastAsia" w:ascii="仿宋_GB2312" w:hAnsi="宋体" w:eastAsia="仿宋_GB2312"/>
          <w:w w:val="95"/>
          <w:sz w:val="32"/>
          <w:szCs w:val="32"/>
          <w:highlight w:val="none"/>
        </w:rPr>
        <w:t>共预</w:t>
      </w:r>
      <w:r>
        <w:rPr>
          <w:rFonts w:hint="eastAsia" w:ascii="仿宋_GB2312" w:hAnsi="宋体" w:eastAsia="仿宋_GB2312"/>
          <w:spacing w:val="1"/>
          <w:w w:val="95"/>
          <w:sz w:val="32"/>
          <w:szCs w:val="32"/>
          <w:highlight w:val="none"/>
        </w:rPr>
        <w:t>算</w:t>
      </w:r>
      <w:r>
        <w:rPr>
          <w:rFonts w:hint="eastAsia" w:ascii="仿宋_GB2312" w:hAnsi="宋体" w:eastAsia="仿宋_GB2312"/>
          <w:w w:val="95"/>
          <w:sz w:val="32"/>
          <w:szCs w:val="32"/>
          <w:highlight w:val="none"/>
        </w:rPr>
        <w:t>支出项</w:t>
      </w:r>
      <w:r>
        <w:rPr>
          <w:rFonts w:hint="eastAsia" w:ascii="仿宋_GB2312" w:hAnsi="宋体" w:eastAsia="仿宋_GB2312"/>
          <w:spacing w:val="1"/>
          <w:w w:val="95"/>
          <w:sz w:val="32"/>
          <w:szCs w:val="32"/>
          <w:highlight w:val="none"/>
        </w:rPr>
        <w:t>目</w:t>
      </w:r>
      <w:r>
        <w:rPr>
          <w:rFonts w:hint="eastAsia" w:ascii="仿宋_GB2312" w:hAnsi="宋体" w:eastAsia="仿宋_GB2312"/>
          <w:w w:val="95"/>
          <w:sz w:val="32"/>
          <w:szCs w:val="32"/>
          <w:highlight w:val="none"/>
        </w:rPr>
        <w:t>全面</w:t>
      </w:r>
      <w:r>
        <w:rPr>
          <w:rFonts w:hint="eastAsia" w:ascii="仿宋_GB2312" w:hAnsi="宋体" w:eastAsia="仿宋_GB2312"/>
          <w:spacing w:val="1"/>
          <w:w w:val="95"/>
          <w:sz w:val="32"/>
          <w:szCs w:val="32"/>
          <w:highlight w:val="none"/>
        </w:rPr>
        <w:t>开</w:t>
      </w:r>
      <w:r>
        <w:rPr>
          <w:rFonts w:hint="eastAsia" w:ascii="仿宋_GB2312" w:hAnsi="宋体" w:eastAsia="仿宋_GB2312"/>
          <w:w w:val="95"/>
          <w:sz w:val="32"/>
          <w:szCs w:val="32"/>
          <w:highlight w:val="none"/>
        </w:rPr>
        <w:t>展了绩</w:t>
      </w:r>
      <w:r>
        <w:rPr>
          <w:rFonts w:hint="eastAsia" w:ascii="仿宋_GB2312" w:hAnsi="宋体" w:eastAsia="仿宋_GB2312"/>
          <w:spacing w:val="1"/>
          <w:w w:val="95"/>
          <w:sz w:val="32"/>
          <w:szCs w:val="32"/>
          <w:highlight w:val="none"/>
        </w:rPr>
        <w:t>效</w:t>
      </w:r>
      <w:r>
        <w:rPr>
          <w:rFonts w:hint="eastAsia" w:ascii="仿宋_GB2312" w:hAnsi="宋体" w:eastAsia="仿宋_GB2312"/>
          <w:w w:val="95"/>
          <w:sz w:val="32"/>
          <w:szCs w:val="32"/>
          <w:highlight w:val="none"/>
        </w:rPr>
        <w:t>自评</w:t>
      </w:r>
      <w:r>
        <w:rPr>
          <w:rFonts w:hint="eastAsia" w:ascii="仿宋_GB2312" w:hAnsi="宋体" w:eastAsia="仿宋_GB2312"/>
          <w:spacing w:val="-112"/>
          <w:w w:val="95"/>
          <w:sz w:val="32"/>
          <w:szCs w:val="32"/>
          <w:highlight w:val="none"/>
        </w:rPr>
        <w:t xml:space="preserve">。   </w:t>
      </w:r>
      <w:r>
        <w:rPr>
          <w:rFonts w:hint="eastAsia" w:ascii="仿宋_GB2312" w:hAnsi="仿宋" w:eastAsia="仿宋_GB2312" w:cs="仿宋"/>
          <w:sz w:val="32"/>
          <w:szCs w:val="32"/>
          <w:highlight w:val="none"/>
        </w:rPr>
        <w:t>被评价项目总体绩效目标明确，决策依据充分，资金分配科学合理，项目管理较规范，项目完成良好，基本达到了预期效果。</w:t>
      </w:r>
    </w:p>
    <w:p>
      <w:pPr>
        <w:spacing w:line="360" w:lineRule="auto"/>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（七）其他重要事项的说明</w:t>
      </w:r>
    </w:p>
    <w:p>
      <w:pPr>
        <w:spacing w:line="360" w:lineRule="auto"/>
        <w:ind w:firstLine="630" w:firstLineChars="196"/>
        <w:rPr>
          <w:rFonts w:ascii="楷体" w:hAnsi="楷体" w:eastAsia="楷体" w:cs="楷体"/>
          <w:b/>
          <w:bCs/>
          <w:sz w:val="32"/>
          <w:szCs w:val="32"/>
          <w:highlight w:val="none"/>
        </w:rPr>
      </w:pPr>
      <w:r>
        <w:rPr>
          <w:rFonts w:hint="eastAsia" w:ascii="楷体" w:hAnsi="楷体" w:eastAsia="楷体" w:cs="楷体"/>
          <w:b/>
          <w:bCs/>
          <w:sz w:val="32"/>
          <w:szCs w:val="32"/>
          <w:highlight w:val="none"/>
        </w:rPr>
        <w:t>1、</w:t>
      </w:r>
      <w:r>
        <w:rPr>
          <w:rFonts w:hint="eastAsia" w:ascii="仿宋_GB2312" w:hAnsi="宋体" w:eastAsia="仿宋_GB2312" w:cs="宋体"/>
          <w:b/>
          <w:bCs/>
          <w:sz w:val="32"/>
          <w:szCs w:val="32"/>
          <w:highlight w:val="none"/>
        </w:rPr>
        <w:t>机关运行经费情况：</w:t>
      </w:r>
      <w:r>
        <w:rPr>
          <w:rFonts w:hint="eastAsia" w:ascii="仿宋" w:hAnsi="仿宋" w:eastAsia="仿宋" w:cs="仿宋"/>
          <w:sz w:val="32"/>
          <w:szCs w:val="32"/>
          <w:highlight w:val="none"/>
        </w:rPr>
        <w:t>2017年度部门机关运行经费支出123.58万元，比2016年度增加59.76万元，增长93.6</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%，原因是我单位</w:t>
      </w:r>
      <w:r>
        <w:rPr>
          <w:rFonts w:hint="eastAsia" w:ascii="仿宋_GB2312" w:hAnsi="仿宋" w:eastAsia="仿宋_GB2312"/>
          <w:sz w:val="32"/>
          <w:szCs w:val="32"/>
          <w:highlight w:val="none"/>
        </w:rPr>
        <w:t>新增公车改革补贴、移动通讯补贴等支出以及</w:t>
      </w:r>
      <w:r>
        <w:rPr>
          <w:rFonts w:hint="eastAsia" w:ascii="仿宋" w:hAnsi="仿宋" w:eastAsia="仿宋" w:cs="仿宋"/>
          <w:sz w:val="32"/>
          <w:szCs w:val="32"/>
          <w:highlight w:val="none"/>
        </w:rPr>
        <w:t xml:space="preserve">地名普查经费增加。  </w:t>
      </w:r>
    </w:p>
    <w:p>
      <w:pPr>
        <w:autoSpaceDN w:val="0"/>
        <w:spacing w:line="420" w:lineRule="atLeast"/>
        <w:ind w:firstLine="643" w:firstLineChars="200"/>
        <w:jc w:val="left"/>
        <w:rPr>
          <w:rFonts w:ascii="楷体" w:hAnsi="楷体" w:eastAsia="楷体"/>
          <w:b/>
          <w:sz w:val="32"/>
          <w:szCs w:val="32"/>
          <w:highlight w:val="none"/>
        </w:rPr>
      </w:pPr>
      <w:r>
        <w:rPr>
          <w:rFonts w:hint="eastAsia" w:ascii="楷体" w:hAnsi="楷体" w:eastAsia="楷体"/>
          <w:b/>
          <w:sz w:val="32"/>
          <w:szCs w:val="32"/>
          <w:highlight w:val="none"/>
        </w:rPr>
        <w:t>2、政府采购情况：</w:t>
      </w:r>
      <w:r>
        <w:rPr>
          <w:rFonts w:hint="eastAsia" w:ascii="仿宋" w:hAnsi="仿宋" w:eastAsia="仿宋" w:cs="仿宋"/>
          <w:sz w:val="32"/>
          <w:szCs w:val="32"/>
          <w:highlight w:val="none"/>
        </w:rPr>
        <w:t>2017年度部门政府采购支出23.18万元，其中：政府采购货物支出23.18万元，政府采购工程支出0万元，政府采购服务支出0万元。</w:t>
      </w:r>
    </w:p>
    <w:p>
      <w:pPr>
        <w:autoSpaceDN w:val="0"/>
        <w:spacing w:line="420" w:lineRule="atLeast"/>
        <w:ind w:firstLine="643" w:firstLineChars="200"/>
        <w:jc w:val="left"/>
        <w:rPr>
          <w:rFonts w:hint="eastAsia" w:ascii="仿宋" w:hAnsi="仿宋" w:eastAsia="仿宋"/>
          <w:sz w:val="32"/>
          <w:highlight w:val="none"/>
        </w:rPr>
      </w:pPr>
      <w:r>
        <w:rPr>
          <w:rFonts w:hint="eastAsia" w:ascii="楷体" w:hAnsi="楷体" w:eastAsia="楷体"/>
          <w:b/>
          <w:sz w:val="32"/>
          <w:szCs w:val="32"/>
          <w:highlight w:val="none"/>
        </w:rPr>
        <w:t>3、</w:t>
      </w:r>
      <w:r>
        <w:rPr>
          <w:rFonts w:hint="eastAsia" w:ascii="仿宋_GB2312" w:hAnsi="宋体" w:eastAsia="仿宋_GB2312" w:cs="宋体"/>
          <w:b/>
          <w:bCs/>
          <w:sz w:val="32"/>
          <w:szCs w:val="32"/>
          <w:highlight w:val="none"/>
        </w:rPr>
        <w:t>国有资产占用情况</w:t>
      </w:r>
      <w:r>
        <w:rPr>
          <w:rFonts w:ascii="仿宋_GB2312" w:eastAsia="仿宋_GB2312"/>
          <w:b/>
          <w:bCs/>
          <w:sz w:val="32"/>
          <w:szCs w:val="32"/>
          <w:highlight w:val="none"/>
        </w:rPr>
        <w:t>:</w:t>
      </w:r>
      <w:r>
        <w:rPr>
          <w:rFonts w:hint="eastAsia" w:ascii="仿宋" w:hAnsi="仿宋" w:eastAsia="仿宋" w:cs="仿宋"/>
          <w:bCs/>
          <w:sz w:val="32"/>
          <w:highlight w:val="none"/>
        </w:rPr>
        <w:t xml:space="preserve"> 截至</w:t>
      </w:r>
      <w:r>
        <w:rPr>
          <w:rFonts w:ascii="仿宋" w:hAnsi="仿宋" w:eastAsia="仿宋"/>
          <w:sz w:val="32"/>
          <w:highlight w:val="none"/>
        </w:rPr>
        <w:t>201</w:t>
      </w:r>
      <w:r>
        <w:rPr>
          <w:rFonts w:hint="eastAsia" w:ascii="仿宋" w:hAnsi="仿宋" w:eastAsia="仿宋"/>
          <w:sz w:val="32"/>
          <w:highlight w:val="none"/>
        </w:rPr>
        <w:t>7年12月31日，本部门共有车辆2辆，其中：一般公务用车1辆；单位价值50万以上通用设备0台（套），单位价值100万以上专用设备0台（套）。</w:t>
      </w:r>
    </w:p>
    <w:p>
      <w:pPr>
        <w:pStyle w:val="2"/>
        <w:spacing w:line="360" w:lineRule="auto"/>
        <w:ind w:firstLine="880" w:firstLineChars="200"/>
        <w:jc w:val="center"/>
        <w:rPr>
          <w:rFonts w:hint="eastAsia" w:ascii="仿宋" w:hAnsi="仿宋" w:eastAsia="仿宋"/>
          <w:sz w:val="32"/>
          <w:highlight w:val="none"/>
        </w:rPr>
      </w:pPr>
      <w:r>
        <w:rPr>
          <w:rFonts w:hint="eastAsia" w:ascii="方正小标宋简体" w:hAnsi="新宋体" w:eastAsia="方正小标宋简体" w:cs="新宋体"/>
          <w:bCs/>
          <w:sz w:val="44"/>
          <w:szCs w:val="44"/>
          <w:highlight w:val="none"/>
        </w:rPr>
        <w:t>霸州市民政局</w:t>
      </w:r>
      <w:r>
        <w:rPr>
          <w:rFonts w:hint="eastAsia" w:ascii="方正小标宋简体" w:hAnsi="新宋体" w:eastAsia="方正小标宋简体" w:cs="新宋体"/>
          <w:bCs/>
          <w:sz w:val="44"/>
          <w:szCs w:val="44"/>
          <w:highlight w:val="none"/>
          <w:lang w:eastAsia="zh-CN"/>
        </w:rPr>
        <w:t>固定资产占用情况表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highlight w:val="none"/>
              </w:rPr>
            </w:pPr>
            <w:r>
              <w:rPr>
                <w:rFonts w:hint="eastAsia" w:ascii="宋体" w:hAnsi="宋体" w:cs="宋体"/>
                <w:kern w:val="0"/>
                <w:sz w:val="22"/>
                <w:highlight w:val="none"/>
              </w:rPr>
              <w:t>编制部门：802霸州市民政局</w:t>
            </w:r>
          </w:p>
        </w:tc>
        <w:tc>
          <w:tcPr>
            <w:tcW w:w="5103" w:type="dxa"/>
            <w:tcBorders>
              <w:top w:val="nil"/>
              <w:left w:val="nil"/>
              <w:bottom w:val="nil"/>
              <w:right w:val="nil"/>
            </w:tcBorders>
            <w:vAlign w:val="center"/>
          </w:tcPr>
          <w:p>
            <w:pPr>
              <w:widowControl/>
              <w:ind w:firstLine="440" w:firstLineChars="200"/>
              <w:jc w:val="left"/>
              <w:rPr>
                <w:rFonts w:ascii="宋体" w:hAnsi="宋体" w:cs="宋体"/>
                <w:kern w:val="0"/>
                <w:sz w:val="22"/>
                <w:highlight w:val="none"/>
              </w:rPr>
            </w:pPr>
            <w:r>
              <w:rPr>
                <w:rFonts w:hint="eastAsia" w:ascii="宋体" w:hAnsi="宋体" w:cs="宋体"/>
                <w:kern w:val="0"/>
                <w:sz w:val="22"/>
                <w:highlight w:val="none"/>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jc w:val="center"/>
              <w:rPr>
                <w:rFonts w:ascii="宋体" w:hAnsi="宋体" w:cs="宋体"/>
                <w:b/>
                <w:bCs/>
                <w:kern w:val="0"/>
                <w:sz w:val="22"/>
                <w:highlight w:val="none"/>
              </w:rPr>
            </w:pPr>
            <w:r>
              <w:rPr>
                <w:rFonts w:hint="eastAsia" w:ascii="宋体" w:hAnsi="宋体" w:cs="宋体"/>
                <w:b/>
                <w:bCs/>
                <w:kern w:val="0"/>
                <w:sz w:val="22"/>
                <w:highlight w:val="none"/>
              </w:rPr>
              <w:t>项   目</w:t>
            </w:r>
          </w:p>
        </w:tc>
        <w:tc>
          <w:tcPr>
            <w:tcW w:w="3155"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宋体" w:hAnsi="宋体" w:cs="宋体"/>
                <w:b/>
                <w:bCs/>
                <w:kern w:val="0"/>
                <w:sz w:val="22"/>
                <w:highlight w:val="none"/>
              </w:rPr>
            </w:pPr>
            <w:r>
              <w:rPr>
                <w:rFonts w:hint="eastAsia" w:ascii="宋体" w:hAnsi="宋体" w:cs="宋体"/>
                <w:b/>
                <w:bCs/>
                <w:kern w:val="0"/>
                <w:sz w:val="22"/>
                <w:highlight w:val="none"/>
              </w:rPr>
              <w:t>数量</w:t>
            </w:r>
          </w:p>
        </w:tc>
        <w:tc>
          <w:tcPr>
            <w:tcW w:w="5103"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宋体" w:hAnsi="宋体" w:cs="宋体"/>
                <w:b/>
                <w:bCs/>
                <w:kern w:val="0"/>
                <w:sz w:val="22"/>
                <w:highlight w:val="none"/>
              </w:rPr>
            </w:pPr>
            <w:r>
              <w:rPr>
                <w:rFonts w:hint="eastAsia" w:ascii="宋体" w:hAnsi="宋体" w:cs="宋体"/>
                <w:b/>
                <w:bCs/>
                <w:kern w:val="0"/>
                <w:sz w:val="22"/>
                <w:highlight w:val="none"/>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资产总额</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492.64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highlight w:val="none"/>
              </w:rPr>
            </w:pPr>
            <w:r>
              <w:rPr>
                <w:rFonts w:hint="eastAsia" w:ascii="宋体" w:hAnsi="宋体" w:cs="宋体"/>
                <w:kern w:val="0"/>
                <w:sz w:val="22"/>
                <w:highlight w:val="none"/>
              </w:rPr>
              <w:t>1、房屋（平方米）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1300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325.00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highlight w:val="none"/>
              </w:rPr>
            </w:pPr>
            <w:r>
              <w:rPr>
                <w:rFonts w:hint="eastAsia" w:ascii="宋体" w:hAnsi="宋体" w:cs="宋体"/>
                <w:kern w:val="0"/>
                <w:sz w:val="22"/>
                <w:highlight w:val="none"/>
              </w:rPr>
              <w:t xml:space="preserve">   其中：办公用房（平方米）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1300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325.00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highlight w:val="none"/>
              </w:rPr>
            </w:pPr>
            <w:r>
              <w:rPr>
                <w:rFonts w:hint="eastAsia" w:ascii="宋体" w:hAnsi="宋体" w:cs="宋体"/>
                <w:kern w:val="0"/>
                <w:sz w:val="22"/>
                <w:highlight w:val="none"/>
              </w:rPr>
              <w:t>2、车辆（台、辆）</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2</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33.20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highlight w:val="none"/>
              </w:rPr>
            </w:pPr>
            <w:r>
              <w:rPr>
                <w:rFonts w:hint="eastAsia" w:ascii="宋体" w:hAnsi="宋体" w:cs="宋体"/>
                <w:kern w:val="0"/>
                <w:sz w:val="22"/>
                <w:highlight w:val="none"/>
              </w:rPr>
              <w:t>3、单价在20万元以上的设备</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highlight w:val="none"/>
              </w:rPr>
            </w:pPr>
            <w:r>
              <w:rPr>
                <w:rFonts w:hint="eastAsia" w:ascii="宋体" w:hAnsi="宋体" w:cs="宋体"/>
                <w:kern w:val="0"/>
                <w:sz w:val="22"/>
                <w:highlight w:val="none"/>
              </w:rPr>
              <w:t xml:space="preserve">4、其他固定资产 </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highlight w:val="none"/>
              </w:rPr>
            </w:pPr>
            <w:r>
              <w:rPr>
                <w:rFonts w:hint="eastAsia" w:ascii="宋体" w:hAnsi="宋体" w:cs="宋体"/>
                <w:kern w:val="0"/>
                <w:sz w:val="22"/>
                <w:highlight w:val="none"/>
              </w:rPr>
              <w:t>134.44</w:t>
            </w:r>
          </w:p>
        </w:tc>
      </w:tr>
    </w:tbl>
    <w:p>
      <w:pPr>
        <w:ind w:firstLine="643" w:firstLineChars="200"/>
        <w:jc w:val="left"/>
        <w:rPr>
          <w:rFonts w:ascii="楷体" w:hAnsi="楷体" w:eastAsia="楷体" w:cs="楷体"/>
          <w:b/>
          <w:bCs/>
          <w:kern w:val="0"/>
          <w:sz w:val="32"/>
          <w:szCs w:val="32"/>
          <w:highlight w:val="none"/>
          <w:shd w:val="clear" w:color="auto" w:fill="FFFFFF"/>
        </w:rPr>
      </w:pPr>
      <w:r>
        <w:rPr>
          <w:rFonts w:hint="eastAsia" w:ascii="楷体" w:hAnsi="楷体" w:eastAsia="楷体" w:cs="楷体"/>
          <w:b/>
          <w:bCs/>
          <w:sz w:val="32"/>
          <w:szCs w:val="32"/>
          <w:highlight w:val="none"/>
        </w:rPr>
        <w:t>4、其他需要说明的情况</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由于决算公开表格中金额数值应当保留两位小数，公开数据为四舍五入计算结果，个别数据合计项与分项之和存在小数点后差额，特此说明。</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由于会计连续性需要，2017年</w:t>
      </w:r>
      <w:r>
        <w:rPr>
          <w:rFonts w:hint="eastAsia" w:ascii="仿宋" w:hAnsi="仿宋" w:eastAsia="仿宋" w:cs="仿宋"/>
          <w:sz w:val="32"/>
          <w:szCs w:val="32"/>
          <w:highlight w:val="none"/>
          <w:lang w:val="en-US" w:eastAsia="zh-CN"/>
        </w:rPr>
        <w:t>度</w:t>
      </w:r>
      <w:r>
        <w:rPr>
          <w:rFonts w:hint="eastAsia" w:ascii="仿宋" w:hAnsi="仿宋" w:eastAsia="仿宋" w:cs="仿宋"/>
          <w:sz w:val="32"/>
          <w:szCs w:val="32"/>
          <w:highlight w:val="none"/>
        </w:rPr>
        <w:t>决算本部门按财政补助单位填列，造成机关运行费未在报表中</w:t>
      </w:r>
      <w:r>
        <w:rPr>
          <w:rFonts w:hint="eastAsia" w:ascii="仿宋" w:hAnsi="仿宋" w:eastAsia="仿宋" w:cs="仿宋"/>
          <w:sz w:val="32"/>
          <w:szCs w:val="32"/>
          <w:highlight w:val="none"/>
          <w:lang w:val="en-US" w:eastAsia="zh-CN"/>
        </w:rPr>
        <w:t>反映</w:t>
      </w:r>
      <w:r>
        <w:rPr>
          <w:rFonts w:hint="eastAsia" w:ascii="仿宋" w:hAnsi="仿宋" w:eastAsia="仿宋" w:cs="仿宋"/>
          <w:sz w:val="32"/>
          <w:szCs w:val="32"/>
          <w:highlight w:val="none"/>
        </w:rPr>
        <w:t>。</w:t>
      </w:r>
    </w:p>
    <w:p>
      <w:pPr>
        <w:ind w:firstLine="643" w:firstLineChars="200"/>
        <w:rPr>
          <w:rFonts w:ascii="黑体" w:hAnsi="黑体" w:eastAsia="黑体"/>
          <w:b/>
          <w:bCs/>
          <w:kern w:val="0"/>
          <w:sz w:val="32"/>
          <w:szCs w:val="32"/>
          <w:highlight w:val="none"/>
          <w:shd w:val="clear" w:color="auto" w:fill="FFFFFF"/>
        </w:rPr>
      </w:pPr>
      <w:r>
        <w:rPr>
          <w:rFonts w:hint="eastAsia" w:ascii="黑体" w:hAnsi="黑体" w:eastAsia="黑体"/>
          <w:b/>
          <w:bCs/>
          <w:kern w:val="0"/>
          <w:sz w:val="32"/>
          <w:szCs w:val="32"/>
          <w:highlight w:val="none"/>
          <w:shd w:val="clear" w:color="auto" w:fill="FFFFFF"/>
        </w:rPr>
        <w:t>四、名词解释</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（一）财政拨款收入：本年度从本级财政部门取得的财政拨款，包括一般公共预算财政拨款和政府性基金预算财政拨款。</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（三）其他收入：指除上述“财政拨款收入”、“事业收入”、“经营收入”等以外的收入。</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（五）年初结转和结余：指以前年度尚未完成、结转到本年仍按原规定用途继续使用的资金，或项目已完成等产生的结余资金。</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（六）结余分配：指事业单位按照事业单位会计制度的规定从非财政补助结余中分配的事业基金和职工福利基金等。</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（七）年末结转和结余：指单位按有关规定结转到下年或以后年度继续使用的资金，或项目已完成等产生的结余资金。</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（八）基本支出：填列单位为保障机构正常运转、完成日常工作任务而发生的各项支出。</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（九）项目支出：填列单位为完成特定的行政工作任务或事业发展目标，在基本支出之外发生的各项支出。</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（十四）公务用车购置：填列单位公务用车车辆购置支出（含车辆购置税）。</w:t>
      </w:r>
    </w:p>
    <w:p>
      <w:pPr>
        <w:spacing w:line="584"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（十五）其他交通工具购置：填列单位除公务用车外的其他各类交通工具（如船舶、飞机）购置支出（含车辆购置税）。</w:t>
      </w:r>
    </w:p>
    <w:p>
      <w:pPr>
        <w:spacing w:line="584" w:lineRule="exact"/>
        <w:ind w:firstLine="640" w:firstLineChars="200"/>
        <w:rPr>
          <w:rFonts w:ascii="Calibri" w:hAnsi="Calibri" w:eastAsia="仿宋_GB2312"/>
          <w:sz w:val="32"/>
          <w:szCs w:val="32"/>
          <w:highlight w:val="none"/>
        </w:rPr>
      </w:pPr>
      <w:r>
        <w:rPr>
          <w:rFonts w:hint="eastAsia" w:ascii="仿宋" w:hAnsi="仿宋" w:eastAsia="仿宋" w:cs="仿宋"/>
          <w:sz w:val="32"/>
          <w:szCs w:val="32"/>
          <w:highlight w:val="none"/>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360" w:lineRule="auto"/>
        <w:ind w:firstLine="640" w:firstLineChars="200"/>
        <w:rPr>
          <w:rFonts w:ascii="仿宋" w:hAnsi="仿宋" w:eastAsia="仿宋" w:cs="仿宋"/>
          <w:sz w:val="32"/>
          <w:szCs w:val="32"/>
          <w:highlight w:val="none"/>
        </w:rPr>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_GB231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21552"/>
    <w:multiLevelType w:val="singleLevel"/>
    <w:tmpl w:val="47F2155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3258"/>
    <w:rsid w:val="0000394B"/>
    <w:rsid w:val="000730A1"/>
    <w:rsid w:val="000868AF"/>
    <w:rsid w:val="000A3198"/>
    <w:rsid w:val="000A4F4D"/>
    <w:rsid w:val="000B5FF0"/>
    <w:rsid w:val="000C2EEC"/>
    <w:rsid w:val="000E17F7"/>
    <w:rsid w:val="00142D50"/>
    <w:rsid w:val="001442AE"/>
    <w:rsid w:val="00194547"/>
    <w:rsid w:val="001C158E"/>
    <w:rsid w:val="001D1867"/>
    <w:rsid w:val="001E287E"/>
    <w:rsid w:val="002115AA"/>
    <w:rsid w:val="0024352E"/>
    <w:rsid w:val="00265F7B"/>
    <w:rsid w:val="00270CA0"/>
    <w:rsid w:val="00271BB0"/>
    <w:rsid w:val="002B24FE"/>
    <w:rsid w:val="002B5AFF"/>
    <w:rsid w:val="002C36C7"/>
    <w:rsid w:val="002E208A"/>
    <w:rsid w:val="002E697B"/>
    <w:rsid w:val="00301ED0"/>
    <w:rsid w:val="003144E9"/>
    <w:rsid w:val="0036301C"/>
    <w:rsid w:val="003A5E84"/>
    <w:rsid w:val="003B0A44"/>
    <w:rsid w:val="003B5C22"/>
    <w:rsid w:val="003D4E4D"/>
    <w:rsid w:val="003F37EA"/>
    <w:rsid w:val="00415D89"/>
    <w:rsid w:val="0041730E"/>
    <w:rsid w:val="00437FA0"/>
    <w:rsid w:val="00483258"/>
    <w:rsid w:val="004A3CBA"/>
    <w:rsid w:val="004B0137"/>
    <w:rsid w:val="004B5E57"/>
    <w:rsid w:val="004D6205"/>
    <w:rsid w:val="004F0A44"/>
    <w:rsid w:val="00563C7E"/>
    <w:rsid w:val="005E410A"/>
    <w:rsid w:val="005F6BCE"/>
    <w:rsid w:val="005F6FD7"/>
    <w:rsid w:val="006019C5"/>
    <w:rsid w:val="00611B3F"/>
    <w:rsid w:val="006229E9"/>
    <w:rsid w:val="00627084"/>
    <w:rsid w:val="00661566"/>
    <w:rsid w:val="006770EB"/>
    <w:rsid w:val="0068362C"/>
    <w:rsid w:val="00695885"/>
    <w:rsid w:val="006A0470"/>
    <w:rsid w:val="006A4F63"/>
    <w:rsid w:val="006E2B58"/>
    <w:rsid w:val="006F13CD"/>
    <w:rsid w:val="006F5934"/>
    <w:rsid w:val="0070640E"/>
    <w:rsid w:val="00715E66"/>
    <w:rsid w:val="00726943"/>
    <w:rsid w:val="00736835"/>
    <w:rsid w:val="00743684"/>
    <w:rsid w:val="00753CA1"/>
    <w:rsid w:val="007631D3"/>
    <w:rsid w:val="00771C0A"/>
    <w:rsid w:val="00787F6B"/>
    <w:rsid w:val="007B2207"/>
    <w:rsid w:val="007C6EF4"/>
    <w:rsid w:val="007F53BE"/>
    <w:rsid w:val="0081267E"/>
    <w:rsid w:val="00817F19"/>
    <w:rsid w:val="00847CD7"/>
    <w:rsid w:val="008538C3"/>
    <w:rsid w:val="00876123"/>
    <w:rsid w:val="0088484F"/>
    <w:rsid w:val="008A3B3D"/>
    <w:rsid w:val="008A629C"/>
    <w:rsid w:val="008B641B"/>
    <w:rsid w:val="008C21E2"/>
    <w:rsid w:val="008F2265"/>
    <w:rsid w:val="008F4295"/>
    <w:rsid w:val="00913BB9"/>
    <w:rsid w:val="00942A02"/>
    <w:rsid w:val="00970DD3"/>
    <w:rsid w:val="009B2BD4"/>
    <w:rsid w:val="009C4479"/>
    <w:rsid w:val="009E1BE2"/>
    <w:rsid w:val="009F258F"/>
    <w:rsid w:val="00A014D9"/>
    <w:rsid w:val="00A218BD"/>
    <w:rsid w:val="00A30D6C"/>
    <w:rsid w:val="00A356BE"/>
    <w:rsid w:val="00A50475"/>
    <w:rsid w:val="00A55796"/>
    <w:rsid w:val="00A709BA"/>
    <w:rsid w:val="00A86EDF"/>
    <w:rsid w:val="00AB4D6B"/>
    <w:rsid w:val="00AB54BF"/>
    <w:rsid w:val="00AE346F"/>
    <w:rsid w:val="00AF3991"/>
    <w:rsid w:val="00B53E6A"/>
    <w:rsid w:val="00B84861"/>
    <w:rsid w:val="00B866EB"/>
    <w:rsid w:val="00BC6CE5"/>
    <w:rsid w:val="00BE5F6D"/>
    <w:rsid w:val="00C03DBE"/>
    <w:rsid w:val="00C050E4"/>
    <w:rsid w:val="00C2728B"/>
    <w:rsid w:val="00C361A5"/>
    <w:rsid w:val="00C55AE7"/>
    <w:rsid w:val="00C57C4A"/>
    <w:rsid w:val="00C719E0"/>
    <w:rsid w:val="00C74244"/>
    <w:rsid w:val="00C95D10"/>
    <w:rsid w:val="00C97036"/>
    <w:rsid w:val="00D27C32"/>
    <w:rsid w:val="00D52E7E"/>
    <w:rsid w:val="00D91183"/>
    <w:rsid w:val="00DC149E"/>
    <w:rsid w:val="00E219D9"/>
    <w:rsid w:val="00E237DF"/>
    <w:rsid w:val="00E42637"/>
    <w:rsid w:val="00E463B5"/>
    <w:rsid w:val="00E5280F"/>
    <w:rsid w:val="00E63892"/>
    <w:rsid w:val="00E7515C"/>
    <w:rsid w:val="00E755DF"/>
    <w:rsid w:val="00EC6028"/>
    <w:rsid w:val="00EE5503"/>
    <w:rsid w:val="00F01C54"/>
    <w:rsid w:val="00F20FDD"/>
    <w:rsid w:val="00F45275"/>
    <w:rsid w:val="00F46940"/>
    <w:rsid w:val="00F51DAD"/>
    <w:rsid w:val="00FB4B8C"/>
    <w:rsid w:val="00FB69EE"/>
    <w:rsid w:val="00FC7A57"/>
    <w:rsid w:val="00FD5C7B"/>
    <w:rsid w:val="00FE02E8"/>
    <w:rsid w:val="00FF157E"/>
    <w:rsid w:val="02CA510D"/>
    <w:rsid w:val="034C58D7"/>
    <w:rsid w:val="03AC160F"/>
    <w:rsid w:val="08AB7B83"/>
    <w:rsid w:val="1D062BCA"/>
    <w:rsid w:val="20501ABE"/>
    <w:rsid w:val="246406B2"/>
    <w:rsid w:val="263819D0"/>
    <w:rsid w:val="2C5105CF"/>
    <w:rsid w:val="398606C9"/>
    <w:rsid w:val="3F7071B5"/>
    <w:rsid w:val="42C327CE"/>
    <w:rsid w:val="42EF0DA7"/>
    <w:rsid w:val="4AF70C82"/>
    <w:rsid w:val="505634F4"/>
    <w:rsid w:val="532E561B"/>
    <w:rsid w:val="5FD76555"/>
    <w:rsid w:val="608F28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spacing w:line="240" w:lineRule="atLeast"/>
    </w:pPr>
    <w:rPr>
      <w:rFonts w:ascii="Calibri" w:hAnsi="Calibri" w:eastAsia="小标宋" w:cs="Times New Roman"/>
      <w:sz w:val="44"/>
      <w:szCs w:val="2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paragraph" w:customStyle="1" w:styleId="9">
    <w:name w:val="_Style 4"/>
    <w:basedOn w:val="1"/>
    <w:qFormat/>
    <w:uiPriority w:val="0"/>
    <w:rPr>
      <w:rFonts w:ascii="Times New Roman" w:hAnsi="Times New Roman" w:eastAsia="宋体" w:cs="Times New Roman"/>
      <w:szCs w:val="20"/>
    </w:rPr>
  </w:style>
  <w:style w:type="character" w:customStyle="1" w:styleId="10">
    <w:name w:val="正文文本 Char"/>
    <w:basedOn w:val="5"/>
    <w:link w:val="2"/>
    <w:qFormat/>
    <w:uiPriority w:val="99"/>
    <w:rPr>
      <w:rFonts w:ascii="Calibri" w:hAnsi="Calibri" w:eastAsia="小标宋" w:cs="Times New Roman"/>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790</Words>
  <Characters>4509</Characters>
  <Lines>37</Lines>
  <Paragraphs>10</Paragraphs>
  <TotalTime>16</TotalTime>
  <ScaleCrop>false</ScaleCrop>
  <LinksUpToDate>false</LinksUpToDate>
  <CharactersWithSpaces>5289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2017-11-04T07:13:00Z</dcterms:created>
  <dc:creator>微软用户</dc:creator>
  <cp:lastModifiedBy>无心之言*</cp:lastModifiedBy>
  <dcterms:modified xsi:type="dcterms:W3CDTF">2019-01-25T12:13:26Z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